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370D6">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黑体" w:hAnsi="黑体" w:eastAsia="黑体" w:cs="黑体"/>
          <w:sz w:val="32"/>
          <w:szCs w:val="32"/>
          <w:highlight w:val="none"/>
          <w:lang w:val="en-US" w:eastAsia="zh-CN"/>
        </w:rPr>
      </w:pPr>
      <w:bookmarkStart w:id="5" w:name="_GoBack"/>
      <w:bookmarkEnd w:id="5"/>
      <w:r>
        <w:rPr>
          <w:rFonts w:hint="eastAsia" w:ascii="黑体" w:hAnsi="黑体" w:eastAsia="黑体" w:cs="黑体"/>
          <w:sz w:val="32"/>
          <w:szCs w:val="32"/>
          <w:highlight w:val="none"/>
        </w:rPr>
        <w:t>附件</w:t>
      </w:r>
      <w:r>
        <w:rPr>
          <w:rFonts w:hint="eastAsia" w:ascii="黑体" w:hAnsi="黑体" w:eastAsia="黑体" w:cs="黑体"/>
          <w:sz w:val="32"/>
          <w:szCs w:val="32"/>
          <w:highlight w:val="none"/>
          <w:lang w:val="en-US" w:eastAsia="zh-CN"/>
        </w:rPr>
        <w:t>4</w:t>
      </w:r>
    </w:p>
    <w:p w14:paraId="43422C18">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z w:val="44"/>
          <w:szCs w:val="44"/>
          <w:highlight w:val="none"/>
          <w:lang w:val="en-US" w:eastAsia="zh-CN"/>
        </w:rPr>
      </w:pPr>
      <w:r>
        <w:rPr>
          <w:rFonts w:hint="eastAsia" w:eastAsia="方正小标宋简体" w:cs="Times New Roman"/>
          <w:sz w:val="44"/>
          <w:szCs w:val="44"/>
          <w:highlight w:val="none"/>
          <w:lang w:val="en-US" w:eastAsia="zh-CN"/>
        </w:rPr>
        <w:t>慈溪</w:t>
      </w:r>
      <w:r>
        <w:rPr>
          <w:rFonts w:hint="eastAsia" w:ascii="Times New Roman" w:hAnsi="Times New Roman" w:eastAsia="方正小标宋简体" w:cs="Times New Roman"/>
          <w:sz w:val="44"/>
          <w:szCs w:val="44"/>
          <w:highlight w:val="none"/>
          <w:lang w:val="en-US" w:eastAsia="zh-CN"/>
        </w:rPr>
        <w:t>“海卫杯”智能家电产业赛细则</w:t>
      </w:r>
    </w:p>
    <w:p w14:paraId="5CA268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一、产业背景</w:t>
      </w:r>
    </w:p>
    <w:p w14:paraId="163ACB9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观海卫镇是浙江省小城市试点城市，宁波市卫星城市，民营经济十分发达，经济总量位列全国千强镇第59位，有制造业企业近5000家，产业集聚特色明显，以电源连接器、智能家电、光通讯配件为主导产业，电源连接器\转换器已发展成为全球第一大生产基地，占全国产量的80%，出口量的70%，年销售额超过150亿元，被中国电器工业协会评</w:t>
      </w:r>
      <w:r>
        <w:rPr>
          <w:rFonts w:hint="eastAsia" w:ascii="仿宋_GB2312" w:hAnsi="仿宋_GB2312" w:eastAsia="仿宋_GB2312" w:cs="Times New Roman"/>
          <w:sz w:val="32"/>
          <w:szCs w:val="32"/>
          <w:highlight w:val="none"/>
        </w:rPr>
        <w:t>为“中国电源插座产业基地”，</w:t>
      </w:r>
      <w:r>
        <w:rPr>
          <w:rFonts w:hint="default" w:ascii="Times New Roman Regular" w:hAnsi="Times New Roman Regular" w:eastAsia="仿宋_GB2312" w:cs="Times New Roman Regular"/>
          <w:sz w:val="32"/>
          <w:szCs w:val="32"/>
          <w:highlight w:val="none"/>
        </w:rPr>
        <w:t>其中公牛集团的插座被认定为国家单打冠军产品，占据全国70%的市场份额，是全国插座行业唯一的主板上市企业。观海卫镇家用电器产业门类比较齐全，主要有取暖器、空气循环扇、冰箱、空调、洗衣机、空气炸锅、空气净化器等，其中两季小家电和冰洗空白色家电是慈溪市主要的生产基地，全镇家电产业年产值超300亿元。光电通讯配件企业有300余家，年产值超50亿元。</w:t>
      </w:r>
    </w:p>
    <w:p w14:paraId="473F7B2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Times New Roman"/>
          <w:sz w:val="32"/>
          <w:szCs w:val="32"/>
          <w:highlight w:val="none"/>
        </w:rPr>
      </w:pPr>
      <w:r>
        <w:rPr>
          <w:rFonts w:hint="eastAsia" w:ascii="仿宋_GB2312" w:hAnsi="仿宋_GB2312" w:eastAsia="仿宋_GB2312" w:cs="Times New Roman"/>
          <w:sz w:val="32"/>
          <w:szCs w:val="32"/>
          <w:highlight w:val="none"/>
        </w:rPr>
        <w:t>浙江科技大学慈溪产业研究院由慈溪市人民政府与浙江科技大学共同组建，旨在实施协同创新、资源共享与合作培养，加速中德科技成果在慈溪转移转化，助推慈溪市创新驱动和经济高质量发展。研究院下设浙江科技大学前湾研究生联合培养基地、浙江科技大学科技成果转移转化中心慈溪分中心、机器人与智能产业研究中心、创新设计研究中心和减污降碳与固废资源化研究中心。</w:t>
      </w:r>
    </w:p>
    <w:p w14:paraId="6964981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二、组织机构</w:t>
      </w:r>
    </w:p>
    <w:p w14:paraId="532B1C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仿宋_GB2312" w:hAnsi="仿宋_GB2312" w:eastAsia="仿宋_GB2312" w:cs="Times New Roman"/>
          <w:sz w:val="32"/>
          <w:szCs w:val="32"/>
          <w:highlight w:val="none"/>
        </w:rPr>
        <w:t>承办单位：慈溪市观海卫镇人民政府</w:t>
      </w:r>
      <w:r>
        <w:rPr>
          <w:rFonts w:hint="eastAsia" w:ascii="仿宋_GB2312" w:hAnsi="仿宋_GB2312" w:eastAsia="仿宋_GB2312" w:cs="Times New Roman"/>
          <w:sz w:val="32"/>
          <w:szCs w:val="32"/>
          <w:highlight w:val="none"/>
          <w:lang w:eastAsia="zh-CN"/>
        </w:rPr>
        <w:t>、</w:t>
      </w:r>
      <w:r>
        <w:rPr>
          <w:rFonts w:hint="eastAsia" w:ascii="仿宋_GB2312" w:hAnsi="仿宋_GB2312" w:eastAsia="仿宋_GB2312" w:cs="Times New Roman"/>
          <w:sz w:val="32"/>
          <w:szCs w:val="32"/>
          <w:highlight w:val="none"/>
        </w:rPr>
        <w:t>浙江科技大学慈溪产业研究院</w:t>
      </w:r>
    </w:p>
    <w:p w14:paraId="37EB37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三、赛道命题</w:t>
      </w:r>
    </w:p>
    <w:p w14:paraId="1181F93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本次竞赛以观海卫镇主要电器产品研发目标出发，针对国内国际两大市场、线上线下两个销售场景，聚焦各类用户实际需求，针对以下三类产品的功能、造型、结构、使用方式、CMF等进行创新设计。</w:t>
      </w:r>
    </w:p>
    <w:p w14:paraId="473998F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1</w:t>
      </w:r>
      <w:r>
        <w:rPr>
          <w:rFonts w:hint="eastAsia" w:ascii="楷体_GB2312" w:hAnsi="楷体_GB2312" w:eastAsia="楷体_GB2312" w:cs="楷体_GB2312"/>
          <w:color w:val="000000" w:themeColor="text1"/>
          <w:sz w:val="32"/>
          <w:szCs w:val="32"/>
          <w:highlight w:val="none"/>
          <w14:textFill>
            <w14:solidFill>
              <w14:schemeClr w14:val="tx1"/>
            </w14:solidFill>
          </w14:textFill>
        </w:rPr>
        <w:t>：电工电气产品系列</w:t>
      </w:r>
    </w:p>
    <w:p w14:paraId="1C4EE4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结合观海卫镇产业实际，主要包括电源连接器、转换器、充电宝、无线充电器、新能源充电枪、便携式储能设备等。设计要求：综合平衡工程技术、美学造型、人机交互、安全规范等多个维度，构建</w:t>
      </w:r>
      <w:r>
        <w:rPr>
          <w:rFonts w:hint="eastAsia" w:ascii="仿宋_GB2312" w:hAnsi="仿宋_GB2312" w:eastAsia="仿宋_GB2312" w:cs="仿宋_GB2312"/>
          <w:sz w:val="32"/>
          <w:szCs w:val="32"/>
          <w:highlight w:val="none"/>
        </w:rPr>
        <w:t>“设备安全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人体适配</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操作体验”三</w:t>
      </w:r>
      <w:r>
        <w:rPr>
          <w:rFonts w:hint="default" w:ascii="Times New Roman Regular" w:hAnsi="Times New Roman Regular" w:eastAsia="仿宋_GB2312" w:cs="Times New Roman Regular"/>
          <w:sz w:val="32"/>
          <w:szCs w:val="32"/>
          <w:highlight w:val="none"/>
        </w:rPr>
        <w:t>维体系，做到功能与安全优先，实现“美学与实力”并存，强化产品的模块化、智能化、绿色化、CMF（色彩、材料、工艺）的精致化。</w:t>
      </w:r>
    </w:p>
    <w:p w14:paraId="4DCD92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2</w:t>
      </w:r>
      <w:r>
        <w:rPr>
          <w:rFonts w:hint="eastAsia" w:ascii="楷体_GB2312" w:hAnsi="楷体_GB2312" w:eastAsia="楷体_GB2312" w:cs="楷体_GB2312"/>
          <w:color w:val="000000" w:themeColor="text1"/>
          <w:sz w:val="32"/>
          <w:szCs w:val="32"/>
          <w:highlight w:val="none"/>
          <w14:textFill>
            <w14:solidFill>
              <w14:schemeClr w14:val="tx1"/>
            </w14:solidFill>
          </w14:textFill>
        </w:rPr>
        <w:t>：白色家电产品系列</w:t>
      </w:r>
    </w:p>
    <w:p w14:paraId="47D6F52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主要包括冰箱、冷柜、冷藏展示柜、洗衣机、空气循环扇、取暖器、挂烫机、空调等。设计要求：融合美学、功能、人机、制造与可持续性，核心是在有限的居家空间中，平衡极致的功能效率与纯粹的情感美学，</w:t>
      </w:r>
      <w:r>
        <w:rPr>
          <w:rFonts w:hint="eastAsia" w:ascii="Times New Roman Regular" w:hAnsi="Times New Roman Regular" w:eastAsia="仿宋_GB2312" w:cs="Times New Roman Regular"/>
          <w:sz w:val="32"/>
          <w:szCs w:val="32"/>
          <w:highlight w:val="none"/>
          <w:lang w:eastAsia="zh-CN"/>
        </w:rPr>
        <w:t>突出</w:t>
      </w:r>
      <w:r>
        <w:rPr>
          <w:rFonts w:hint="default" w:ascii="Times New Roman Regular" w:hAnsi="Times New Roman Regular" w:eastAsia="仿宋_GB2312" w:cs="Times New Roman Regular"/>
          <w:sz w:val="32"/>
          <w:szCs w:val="32"/>
          <w:highlight w:val="none"/>
        </w:rPr>
        <w:t>耐久性、易用性与环境融合度。在CMF与美学上，符合极简主义、</w:t>
      </w:r>
      <w:r>
        <w:rPr>
          <w:rFonts w:hint="eastAsia" w:ascii="仿宋_GB2312" w:hAnsi="仿宋_GB2312" w:eastAsia="仿宋_GB2312" w:cs="仿宋_GB2312"/>
          <w:sz w:val="32"/>
          <w:szCs w:val="32"/>
          <w:highlight w:val="none"/>
        </w:rPr>
        <w:t>视觉上的“安静感”与居家一体化。在人机交互与体验上做到操作的直觉化，强化“隐形式”、无障碍和“黄金高度”设计。结构设计要充分考虑</w:t>
      </w:r>
      <w:r>
        <w:rPr>
          <w:rFonts w:hint="default" w:ascii="Times New Roman Regular" w:hAnsi="Times New Roman Regular" w:eastAsia="仿宋_GB2312" w:cs="Times New Roman Regular"/>
          <w:sz w:val="32"/>
          <w:szCs w:val="32"/>
          <w:highlight w:val="none"/>
        </w:rPr>
        <w:t>制造工艺的简化、模块化、可靠性和使用的安全性、易拆解。</w:t>
      </w:r>
    </w:p>
    <w:p w14:paraId="0CF6E1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3</w:t>
      </w:r>
      <w:r>
        <w:rPr>
          <w:rFonts w:hint="eastAsia" w:ascii="楷体_GB2312" w:hAnsi="楷体_GB2312" w:eastAsia="楷体_GB2312" w:cs="楷体_GB2312"/>
          <w:color w:val="000000" w:themeColor="text1"/>
          <w:sz w:val="32"/>
          <w:szCs w:val="32"/>
          <w:highlight w:val="none"/>
          <w14:textFill>
            <w14:solidFill>
              <w14:schemeClr w14:val="tx1"/>
            </w14:solidFill>
          </w14:textFill>
        </w:rPr>
        <w:t>：健康电器产品系列</w:t>
      </w:r>
    </w:p>
    <w:p w14:paraId="592B8AE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Times New Roman"/>
          <w:sz w:val="32"/>
          <w:szCs w:val="32"/>
          <w:highlight w:val="none"/>
        </w:rPr>
      </w:pPr>
      <w:r>
        <w:rPr>
          <w:rFonts w:hint="eastAsia" w:ascii="仿宋_GB2312" w:hAnsi="仿宋_GB2312" w:eastAsia="仿宋_GB2312" w:cs="Times New Roman"/>
          <w:sz w:val="32"/>
          <w:szCs w:val="32"/>
          <w:highlight w:val="none"/>
        </w:rPr>
        <w:t>主要包括空气净化器、加湿器、除湿机、茶吧机、饮水机、净水器、空气炸锅、咖啡机、家用呼吸机、足浴器等。设计要求：除了外观造型和色彩搭配外，核心是将健康理念深度融入产品设计的全过程，不仅要关注美学与人机交互，更要将材料安全、功能有效、环境友好及用户体验等多个维度作为设计的根本出发点。材料优先选用低挥发、抗菌、防霉、抗病毒功能的材料，健康功能设计要满足有效性验证，在用户体验上要体现直观的健康信息反馈、便捷的清洁与维护、智能化的场景联动等人性化设计。</w:t>
      </w:r>
    </w:p>
    <w:p w14:paraId="767BD9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四、</w:t>
      </w:r>
      <w:r>
        <w:rPr>
          <w:rFonts w:ascii="黑体" w:hAnsi="黑体" w:eastAsia="黑体" w:cs="Times New Roman"/>
          <w:sz w:val="32"/>
          <w:szCs w:val="32"/>
          <w:highlight w:val="none"/>
        </w:rPr>
        <w:t>参赛对象</w:t>
      </w:r>
    </w:p>
    <w:p w14:paraId="0864C4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Times New Roman"/>
          <w:sz w:val="32"/>
          <w:szCs w:val="32"/>
          <w:highlight w:val="none"/>
        </w:rPr>
      </w:pPr>
      <w:r>
        <w:rPr>
          <w:rFonts w:hint="eastAsia" w:ascii="仿宋_GB2312" w:hAnsi="仿宋_GB2312" w:eastAsia="仿宋_GB2312" w:cs="Times New Roman"/>
          <w:sz w:val="32"/>
          <w:szCs w:val="32"/>
          <w:highlight w:val="none"/>
        </w:rPr>
        <w:t>浙江省普通高校全日制在校大学生，以团队的方式，通过学校推荐报名参赛。每个参赛队学生人数与指导教师人数均不超过3人。竞赛允许研究生与本专科生混合组队，排名不限，研究生不得单独组队。</w:t>
      </w:r>
    </w:p>
    <w:p w14:paraId="567FC5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五、赛程安排</w:t>
      </w:r>
    </w:p>
    <w:p w14:paraId="59A78C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1.初赛阶段（5-7月）</w:t>
      </w:r>
      <w:r>
        <w:rPr>
          <w:rFonts w:hint="default"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各校参赛队以小组方式设计参赛作品，并由各学校经初评后提交至竞赛网络平台。根据各高校报送作品，组织邀请专家进行初赛评审，确定并公布入围决赛作品。</w:t>
      </w:r>
    </w:p>
    <w:p w14:paraId="253420C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2.决赛阶段（8-10月）</w:t>
      </w:r>
      <w:r>
        <w:rPr>
          <w:rFonts w:hint="default"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入围决赛作品需做进一步设计优化，制作较为详尽的产品结构图、尺寸图、产品展示动画以及实物模型。最终决赛以现场答辩的形式决出各奖项，参赛团队可以结合多种表现形式进行设计理念阐述。</w:t>
      </w:r>
    </w:p>
    <w:p w14:paraId="5BDA6D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六、评审标准</w:t>
      </w:r>
    </w:p>
    <w:p w14:paraId="3F95A0F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1.创新性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30%</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：作品在设计构想、功能、材料工艺等方面具有创新元素，体现设计美学。进一步的，作品应具备前瞻性，能够把握产品未来趋势。</w:t>
      </w:r>
    </w:p>
    <w:p w14:paraId="728CDD9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2.完整性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20%</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：作品应充分、完整</w:t>
      </w:r>
      <w:r>
        <w:rPr>
          <w:rFonts w:hint="default" w:ascii="Times New Roman Regular" w:hAnsi="Times New Roman Regular" w:eastAsia="仿宋_GB2312" w:cs="Times New Roman Regular"/>
          <w:sz w:val="32"/>
          <w:szCs w:val="32"/>
          <w:highlight w:val="none"/>
          <w:lang w:eastAsia="zh-CN"/>
        </w:rPr>
        <w:t>地</w:t>
      </w:r>
      <w:r>
        <w:rPr>
          <w:rFonts w:hint="default" w:ascii="Times New Roman Regular" w:hAnsi="Times New Roman Regular" w:eastAsia="仿宋_GB2312" w:cs="Times New Roman Regular"/>
          <w:sz w:val="32"/>
          <w:szCs w:val="32"/>
          <w:highlight w:val="none"/>
        </w:rPr>
        <w:t>表达设计概念与特色。进一步的，作品不局限于单件产品设计，以系列化或系统化的理念提出完整的产品及服务设计。</w:t>
      </w:r>
    </w:p>
    <w:p w14:paraId="070C2E1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3.可行性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20%</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：作品应符合现代制造技术，充分体现模块化设计理念及实现定制的可能性，具有落地执行的必要条件。进一步的，能针对制造环节进行优化，通过设计降低企业成本、提升企业的经济效益。</w:t>
      </w:r>
    </w:p>
    <w:p w14:paraId="228126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4.市场与行业价值</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30%</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：作品应在经济社会、百姓生活中具有实用性，并能满足市场需求。进一步在具有较高市场价值和爆品潜力的同时，具有一定的示范作用，能对智能家电产业发展</w:t>
      </w:r>
      <w:r>
        <w:rPr>
          <w:rFonts w:hint="default" w:ascii="Times New Roman Regular" w:hAnsi="Times New Roman Regular" w:eastAsia="仿宋_GB2312" w:cs="Times New Roman Regular"/>
          <w:sz w:val="32"/>
          <w:szCs w:val="32"/>
          <w:highlight w:val="none"/>
          <w:lang w:eastAsia="zh-CN"/>
        </w:rPr>
        <w:t>作出贡献</w:t>
      </w:r>
      <w:r>
        <w:rPr>
          <w:rFonts w:hint="default" w:ascii="Times New Roman Regular" w:hAnsi="Times New Roman Regular" w:eastAsia="仿宋_GB2312" w:cs="Times New Roman Regular"/>
          <w:sz w:val="32"/>
          <w:szCs w:val="32"/>
          <w:highlight w:val="none"/>
        </w:rPr>
        <w:t>，实现价值共创。</w:t>
      </w:r>
    </w:p>
    <w:p w14:paraId="4FA2AA3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七、奖项设置</w:t>
      </w:r>
    </w:p>
    <w:p w14:paraId="1157CD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本产业赛道按一等奖10项、二等奖20项、三等奖40项比例设立（若作品不足200件，则按照总作品数量5%、10%、20%的比例确定各奖项）。</w:t>
      </w:r>
      <w:r>
        <w:rPr>
          <w:rFonts w:hint="eastAsia" w:ascii="仿宋_GB2312" w:hAnsi="仿宋_GB2312" w:eastAsia="仿宋_GB2312" w:cs="仿宋_GB2312"/>
          <w:sz w:val="32"/>
          <w:szCs w:val="32"/>
          <w:highlight w:val="none"/>
        </w:rPr>
        <w:t>其中一等奖作品将颁发“</w:t>
      </w:r>
      <w:r>
        <w:rPr>
          <w:rFonts w:hint="eastAsia" w:ascii="仿宋_GB2312" w:hAnsi="仿宋_GB2312" w:eastAsia="仿宋_GB2312" w:cs="仿宋_GB2312"/>
          <w:sz w:val="32"/>
          <w:szCs w:val="32"/>
          <w:highlight w:val="none"/>
          <w:lang w:val="en-US" w:eastAsia="zh-CN"/>
        </w:rPr>
        <w:t>智能家电</w:t>
      </w:r>
      <w:r>
        <w:rPr>
          <w:rFonts w:hint="eastAsia" w:ascii="仿宋_GB2312" w:hAnsi="仿宋_GB2312" w:eastAsia="仿宋_GB2312" w:cs="仿宋_GB2312"/>
          <w:sz w:val="32"/>
          <w:szCs w:val="32"/>
          <w:highlight w:val="none"/>
        </w:rPr>
        <w:t>设计孵化基金”</w:t>
      </w:r>
      <w:r>
        <w:rPr>
          <w:rFonts w:hint="default" w:ascii="Times New Roman Regular" w:hAnsi="Times New Roman Regular" w:eastAsia="仿宋_GB2312" w:cs="Times New Roman Regular"/>
          <w:sz w:val="32"/>
          <w:szCs w:val="32"/>
          <w:highlight w:val="none"/>
        </w:rPr>
        <w:t>5000 元（税前）以兹鼓励。（</w:t>
      </w:r>
      <w:r>
        <w:rPr>
          <w:rFonts w:eastAsia="仿宋_GB2312"/>
          <w:sz w:val="32"/>
          <w:szCs w:val="32"/>
          <w:highlight w:val="none"/>
        </w:rPr>
        <w:t>奖金发放说明：</w:t>
      </w:r>
      <w:r>
        <w:rPr>
          <w:rFonts w:hint="eastAsia" w:eastAsia="仿宋_GB2312"/>
          <w:sz w:val="32"/>
          <w:szCs w:val="32"/>
          <w:highlight w:val="none"/>
        </w:rPr>
        <w:t>奖金将发放给作品报名表中署名排序第一的作者，具体分配由团队内部协商</w:t>
      </w:r>
      <w:r>
        <w:rPr>
          <w:rFonts w:hint="default" w:ascii="Times New Roman Regular" w:hAnsi="Times New Roman Regular" w:eastAsia="仿宋_GB2312" w:cs="Times New Roman Regular"/>
          <w:sz w:val="32"/>
          <w:szCs w:val="32"/>
          <w:highlight w:val="none"/>
        </w:rPr>
        <w:t>）</w:t>
      </w:r>
    </w:p>
    <w:p w14:paraId="706B32A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八、作品要求</w:t>
      </w:r>
    </w:p>
    <w:p w14:paraId="7864BC9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1.初赛作品需提交A3横构图版面1张（尺寸为420mm×297mm，分辨率为144dpi，色彩模式为RGB模式，格式为jpg格式），版面内容包含主题、效果图、必要的结构图、基本外观尺寸图及说明文字等。</w:t>
      </w:r>
    </w:p>
    <w:p w14:paraId="1125AC9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2.入围决赛作品需制作样机（模型）、展示版面（尺寸为</w:t>
      </w:r>
    </w:p>
    <w:p w14:paraId="16E361B3">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800mm×1800mm，分辨率为144dpi，色彩模式为RGB模式，格式为jpg格式）和答辩文件（格式可以为PowerPoint、PDF或者Video(MP4)的形式）等。</w:t>
      </w:r>
    </w:p>
    <w:p w14:paraId="47B0C5E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3.</w:t>
      </w:r>
      <w:r>
        <w:rPr>
          <w:rFonts w:hint="default" w:ascii="Times New Roman Regular" w:hAnsi="Times New Roman Regular" w:eastAsia="仿宋_GB2312" w:cs="Times New Roman Regular"/>
          <w:sz w:val="32"/>
          <w:szCs w:val="32"/>
          <w:highlight w:val="none"/>
        </w:rPr>
        <w:t>为保证本次竞赛评选的公正性，参赛作品、版面和电子演讲稿上不得出现作者所在单位、姓名</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包括英文或拼音缩写</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，或与作者身份有关的任何图标、图形等个人信息资料，违者将作无效作品处理</w:t>
      </w:r>
      <w:r>
        <w:rPr>
          <w:rFonts w:hint="eastAsia" w:ascii="Times New Roman" w:hAnsi="Times New Roman" w:eastAsia="仿宋_GB2312" w:cs="Times New Roman"/>
          <w:sz w:val="32"/>
          <w:szCs w:val="32"/>
          <w:highlight w:val="none"/>
        </w:rPr>
        <w:t>。</w:t>
      </w:r>
    </w:p>
    <w:p w14:paraId="4CE0E9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九、作品版权说明</w:t>
      </w:r>
    </w:p>
    <w:p w14:paraId="1525D2B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1.参赛作品必须是参赛者原创作品，参赛者承诺对作品拥有充分、完全、自主知识产权，未侵犯任何他人的任何专利、著作权、商标权及其他知识产权。该作品未在报刊、杂志、网站及其他媒体公开发表，未申请专利或进行版权登记的作品，未参加过其他比赛，未以任何形式进入商业渠道。大赛不承担因作品侵犯他人（或单位）的权利而产生的法律责任，其法律责任由参赛者本人承担。</w:t>
      </w:r>
    </w:p>
    <w:p w14:paraId="7C44B90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2.荣获一等奖的作品版权归大赛组委会所有，作者享有署名权，大赛组委会独家拥有包括但不限于以下方式行使著作权：享有对所属大赛作品方案进行再设计、生产、销售、展示、出版和宣传等权利。获奖参赛者保证参赛作品终身不以同一作品形式参加其他设计比赛或转让给他方。否则大赛有权取消其获奖资格，收回奖金，并保留追究法律责任的权利。</w:t>
      </w:r>
    </w:p>
    <w:p w14:paraId="737A548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cs="Times New Roman"/>
          <w:sz w:val="32"/>
          <w:szCs w:val="32"/>
          <w:highlight w:val="none"/>
        </w:rPr>
      </w:pPr>
      <w:r>
        <w:rPr>
          <w:rFonts w:hint="eastAsia" w:ascii="黑体" w:hAnsi="黑体" w:eastAsia="黑体" w:cs="Times New Roman"/>
          <w:sz w:val="32"/>
          <w:szCs w:val="32"/>
          <w:highlight w:val="none"/>
        </w:rPr>
        <w:t>十、联系方式</w:t>
      </w:r>
    </w:p>
    <w:p w14:paraId="402C1E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highlight w:val="none"/>
        </w:rPr>
      </w:pPr>
      <w:r>
        <w:rPr>
          <w:rFonts w:hint="eastAsia" w:ascii="Times New Roman" w:hAnsi="Times New Roman" w:eastAsia="仿宋_GB2312" w:cs="Times New Roman"/>
          <w:sz w:val="32"/>
          <w:szCs w:val="32"/>
          <w:highlight w:val="none"/>
        </w:rPr>
        <w:t>联系地址：慈溪市白沙路街道三北大街655号（慈星产业园B幢10层）</w:t>
      </w:r>
    </w:p>
    <w:p w14:paraId="73FD93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rPr>
        <w:t>联系人：朱老师</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18968048230</w:t>
      </w:r>
      <w:r>
        <w:rPr>
          <w:rFonts w:hint="eastAsia" w:ascii="Times New Roman" w:hAnsi="Times New Roman" w:eastAsia="仿宋_GB2312" w:cs="Times New Roman"/>
          <w:sz w:val="32"/>
          <w:szCs w:val="32"/>
          <w:highlight w:val="none"/>
          <w:lang w:eastAsia="zh-CN"/>
        </w:rPr>
        <w:t>）</w:t>
      </w:r>
    </w:p>
    <w:p w14:paraId="20AE3CB5">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sz w:val="32"/>
          <w:szCs w:val="32"/>
          <w:highlight w:val="none"/>
        </w:rPr>
      </w:pPr>
    </w:p>
    <w:p w14:paraId="5C284CFE">
      <w:pPr>
        <w:keepNext w:val="0"/>
        <w:keepLines w:val="0"/>
        <w:pageBreakBefore w:val="0"/>
        <w:widowControl w:val="0"/>
        <w:kinsoku/>
        <w:wordWrap/>
        <w:overflowPunct/>
        <w:topLinePunct w:val="0"/>
        <w:autoSpaceDE/>
        <w:autoSpaceDN/>
        <w:bidi w:val="0"/>
        <w:adjustRightInd/>
        <w:snapToGrid/>
        <w:spacing w:line="580" w:lineRule="exact"/>
        <w:textAlignment w:val="auto"/>
        <w:rPr>
          <w:highlight w:val="none"/>
        </w:rPr>
      </w:pPr>
    </w:p>
    <w:p w14:paraId="20B55DBC">
      <w:pPr>
        <w:rPr>
          <w:rFonts w:hint="eastAsia"/>
          <w:highlight w:val="none"/>
        </w:rPr>
      </w:pPr>
      <w:r>
        <w:rPr>
          <w:rFonts w:hint="eastAsia"/>
          <w:highlight w:val="none"/>
        </w:rPr>
        <w:br w:type="page"/>
      </w:r>
    </w:p>
    <w:p w14:paraId="4AF660A0">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简体" w:hAnsi="方正小标宋简体" w:eastAsia="方正小标宋简体"/>
          <w:sz w:val="44"/>
          <w:szCs w:val="44"/>
          <w:highlight w:val="none"/>
        </w:rPr>
      </w:pPr>
      <w:r>
        <w:rPr>
          <w:rFonts w:hint="eastAsia" w:ascii="方正小标宋简体" w:hAnsi="方正小标宋简体" w:eastAsia="方正小标宋简体"/>
          <w:sz w:val="44"/>
          <w:szCs w:val="44"/>
          <w:highlight w:val="none"/>
          <w:lang w:val="en-US" w:eastAsia="zh-CN"/>
        </w:rPr>
        <w:t>永康五金</w:t>
      </w:r>
      <w:r>
        <w:rPr>
          <w:rFonts w:hint="eastAsia" w:ascii="方正小标宋简体" w:hAnsi="方正小标宋简体" w:eastAsia="方正小标宋简体"/>
          <w:sz w:val="44"/>
          <w:szCs w:val="44"/>
          <w:highlight w:val="none"/>
        </w:rPr>
        <w:t>产业赛细则</w:t>
      </w:r>
    </w:p>
    <w:p w14:paraId="4C04C77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一、产业概况</w:t>
      </w:r>
    </w:p>
    <w:p w14:paraId="3C3E50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永康是全国最大的五金制造基地，五金产业是永康工业经济的核心支柱产业，</w:t>
      </w:r>
      <w:r>
        <w:rPr>
          <w:rFonts w:hint="default" w:ascii="Times New Roman Regular" w:hAnsi="Times New Roman Regular" w:eastAsia="仿宋_GB2312" w:cs="Times New Roman Regular"/>
          <w:sz w:val="32"/>
          <w:szCs w:val="32"/>
          <w:highlight w:val="none"/>
        </w:rPr>
        <w:t>本地直接从事五金产品生产的市场主体达19.8万家</w:t>
      </w:r>
      <w:r>
        <w:rPr>
          <w:rFonts w:hint="eastAsia" w:ascii="仿宋_GB2312" w:hAnsi="仿宋_GB2312" w:eastAsia="仿宋_GB2312"/>
          <w:sz w:val="32"/>
          <w:szCs w:val="32"/>
          <w:highlight w:val="none"/>
        </w:rPr>
        <w:t>。“十五五” 期间，永康将聚焦打造中国乃至世界先进制造业基地目标，进一步全面深化改革，持续走好“永康五金走向世界、世界五金汇集永康”开放路，突出“人工智能+”赋能产业智能化发展，加快构建现代产业体系，培育和发展新质生产力，高水平建设世界先进制造业基地。</w:t>
      </w:r>
    </w:p>
    <w:p w14:paraId="274CC57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永康市长期以来通过举办工业设计大赛，建设工业设计基地等方式，有效提升五金产品附加值和市场竞争力，使五金产业取得了长足的发展。其中五金创新设计大奖（原中国五金产品国际工业设计大赛）自2006年创办以来，由永康五金生产力促进中心承办，浙江工业大学协办，已成功举行</w:t>
      </w:r>
      <w:r>
        <w:rPr>
          <w:rFonts w:hint="default" w:ascii="Times New Roman Regular" w:hAnsi="Times New Roman Regular" w:eastAsia="仿宋_GB2312" w:cs="Times New Roman Regular"/>
          <w:sz w:val="32"/>
          <w:szCs w:val="32"/>
          <w:highlight w:val="none"/>
          <w:lang w:val="en-US" w:eastAsia="zh-CN"/>
        </w:rPr>
        <w:t>20</w:t>
      </w:r>
      <w:r>
        <w:rPr>
          <w:rFonts w:hint="default" w:ascii="Times New Roman Regular" w:hAnsi="Times New Roman Regular" w:eastAsia="仿宋_GB2312" w:cs="Times New Roman Regular"/>
          <w:sz w:val="32"/>
          <w:szCs w:val="32"/>
          <w:highlight w:val="none"/>
        </w:rPr>
        <w:t>届，累计征集作品超4万件，覆盖30余个国家和地区，产业化总产值突破300亿元。大赛创新、务实的特点及国内外知名专家评委阵容，吸引了海内外众多高校、设计公司以及独立设计师的参与，已成为永康引进设计人才，转化设计成果的重要平台。</w:t>
      </w:r>
    </w:p>
    <w:p w14:paraId="768FF44A">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黑体" w:hAnsi="黑体" w:eastAsia="黑体" w:cs="黑体"/>
          <w:b w:val="0"/>
          <w:sz w:val="32"/>
          <w:szCs w:val="32"/>
          <w:highlight w:val="none"/>
          <w:lang w:val="en-US" w:eastAsia="zh-CN"/>
        </w:rPr>
      </w:pPr>
      <w:r>
        <w:rPr>
          <w:rFonts w:hint="eastAsia" w:ascii="黑体" w:hAnsi="黑体" w:eastAsia="黑体" w:cs="黑体"/>
          <w:b w:val="0"/>
          <w:sz w:val="32"/>
          <w:szCs w:val="32"/>
          <w:highlight w:val="none"/>
        </w:rPr>
        <w:t>二、</w:t>
      </w:r>
      <w:r>
        <w:rPr>
          <w:rFonts w:hint="eastAsia" w:ascii="黑体" w:hAnsi="黑体" w:eastAsia="黑体" w:cs="黑体"/>
          <w:b w:val="0"/>
          <w:sz w:val="32"/>
          <w:szCs w:val="32"/>
          <w:highlight w:val="none"/>
          <w:lang w:val="en-US" w:eastAsia="zh-CN"/>
        </w:rPr>
        <w:t>组织机构</w:t>
      </w:r>
    </w:p>
    <w:p w14:paraId="78025C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lang w:val="en-US" w:eastAsia="zh-CN"/>
        </w:rPr>
        <w:t>承办单位：永康市科学技术局、</w:t>
      </w:r>
      <w:r>
        <w:rPr>
          <w:rFonts w:hint="eastAsia" w:ascii="仿宋_GB2312" w:hAnsi="仿宋_GB2312" w:eastAsia="仿宋_GB2312"/>
          <w:sz w:val="32"/>
          <w:szCs w:val="32"/>
          <w:highlight w:val="none"/>
        </w:rPr>
        <w:t>浙江永康五金生产力促进中心有限公司</w:t>
      </w:r>
    </w:p>
    <w:p w14:paraId="6454F87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三、竞赛命题</w:t>
      </w:r>
    </w:p>
    <w:p w14:paraId="7BA325C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Times New Roman"/>
          <w:kern w:val="2"/>
          <w:sz w:val="32"/>
          <w:szCs w:val="32"/>
          <w:highlight w:val="none"/>
          <w:lang w:val="en-US" w:eastAsia="zh-CN" w:bidi="ar-SA"/>
        </w:rPr>
      </w:pPr>
      <w:r>
        <w:rPr>
          <w:rFonts w:hint="default" w:ascii="仿宋_GB2312" w:hAnsi="仿宋_GB2312" w:eastAsia="仿宋_GB2312" w:cs="Times New Roman"/>
          <w:kern w:val="2"/>
          <w:sz w:val="32"/>
          <w:szCs w:val="32"/>
          <w:highlight w:val="none"/>
          <w:lang w:val="en-US" w:eastAsia="zh-CN" w:bidi="ar-SA"/>
        </w:rPr>
        <w:t>永康五金</w:t>
      </w:r>
      <w:r>
        <w:rPr>
          <w:rFonts w:hint="eastAsia" w:ascii="仿宋_GB2312" w:hAnsi="仿宋_GB2312" w:eastAsia="仿宋_GB2312" w:cs="Times New Roman"/>
          <w:kern w:val="2"/>
          <w:sz w:val="32"/>
          <w:szCs w:val="32"/>
          <w:highlight w:val="none"/>
          <w:lang w:val="en-US" w:eastAsia="zh-CN" w:bidi="ar-SA"/>
        </w:rPr>
        <w:t>产业</w:t>
      </w:r>
      <w:r>
        <w:rPr>
          <w:rFonts w:hint="default" w:ascii="仿宋_GB2312" w:hAnsi="仿宋_GB2312" w:eastAsia="仿宋_GB2312" w:cs="Times New Roman"/>
          <w:kern w:val="2"/>
          <w:sz w:val="32"/>
          <w:szCs w:val="32"/>
          <w:highlight w:val="none"/>
          <w:lang w:val="en-US" w:eastAsia="zh-CN" w:bidi="ar-SA"/>
        </w:rPr>
        <w:t>赛道聚焦永康五金产业现状与需求，围绕 “健康杯壶”、“家用运动健身器材”、“多功能快装房 / 棚”、“户外休闲用品”</w:t>
      </w:r>
      <w:r>
        <w:rPr>
          <w:rFonts w:hint="eastAsia" w:ascii="仿宋_GB2312" w:hAnsi="仿宋_GB2312" w:eastAsia="仿宋_GB2312" w:cs="Times New Roman"/>
          <w:kern w:val="2"/>
          <w:sz w:val="32"/>
          <w:szCs w:val="32"/>
          <w:highlight w:val="none"/>
          <w:lang w:val="en-US" w:eastAsia="zh-CN" w:bidi="ar-SA"/>
        </w:rPr>
        <w:t>、“永康五金伴手礼”五</w:t>
      </w:r>
      <w:r>
        <w:rPr>
          <w:rFonts w:hint="default" w:ascii="仿宋_GB2312" w:hAnsi="仿宋_GB2312" w:eastAsia="仿宋_GB2312" w:cs="Times New Roman"/>
          <w:kern w:val="2"/>
          <w:sz w:val="32"/>
          <w:szCs w:val="32"/>
          <w:highlight w:val="none"/>
          <w:lang w:val="en-US" w:eastAsia="zh-CN" w:bidi="ar-SA"/>
        </w:rPr>
        <w:t>个命题，从设计理念、应用环境、功能结构、用户体验等角度切入开展具体的创新设计。</w:t>
      </w:r>
    </w:p>
    <w:p w14:paraId="69870D1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pP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命题</w:t>
      </w:r>
      <w:r>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1：</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健康杯壶设计</w:t>
      </w:r>
    </w:p>
    <w:p w14:paraId="7A687B7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lang w:val="en-US" w:eastAsia="zh-CN"/>
        </w:rPr>
      </w:pPr>
      <w:r>
        <w:rPr>
          <w:rFonts w:hint="default" w:ascii="Times New Roman Regular" w:hAnsi="Times New Roman Regular" w:eastAsia="仿宋_GB2312" w:cs="Times New Roman Regular"/>
          <w:sz w:val="32"/>
          <w:szCs w:val="32"/>
          <w:highlight w:val="none"/>
          <w:lang w:val="en-US" w:eastAsia="zh-CN"/>
        </w:rPr>
        <w:t>产品类别为茶、饮茶、焖泡茶、冲泡茶等杯壶器皿；咖啡类冲泡，咖啡饮用等杯壶器皿；运动杯壶器皿；真空电水壶、电水壶、煮茶壶、养生壶等小家电类产品。要求针对不同使用方式（手冲、便携等）、使用场景（室内、户外露营等）、运动类型（骑行、健身、登山等）进行产品及服务的创新设计，并充分考虑钛材质在杯壶领域里的创造性应用。关注老年群体及特殊群体的特殊需求。融入绿色环保以及可持续发展理念。</w:t>
      </w:r>
    </w:p>
    <w:p w14:paraId="72B9CDC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pP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命题</w:t>
      </w:r>
      <w:r>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2：</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家用运动健身器材设计</w:t>
      </w:r>
    </w:p>
    <w:p w14:paraId="083D2FF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lang w:val="en-US" w:eastAsia="zh-CN"/>
        </w:rPr>
      </w:pPr>
      <w:r>
        <w:rPr>
          <w:rFonts w:hint="default" w:ascii="Times New Roman Regular" w:hAnsi="Times New Roman Regular" w:eastAsia="仿宋_GB2312" w:cs="Times New Roman Regular"/>
          <w:sz w:val="32"/>
          <w:szCs w:val="32"/>
          <w:highlight w:val="none"/>
          <w:lang w:val="en-US" w:eastAsia="zh-CN"/>
        </w:rPr>
        <w:t>产品类别为家用电动跑步机、动感单车、椭圆机、划船器等运动健身器材，康复医疗器材。运动健身器材主要应用场景为家用，满足室内健身，塑形，美体等运动健康需求，让人们爱上运动，并能感受运动的快乐；康复医疗器材应用场景包括室内和室外，具有智能化的功能。创新领域包括但不限于外观设计、新材料新工艺应用、一键折叠、主动降噪、根据不同运动习惯提供智能减震、应用AI、云计算及大健康数据为用户提供科学健身指导、降低运动伤害等。</w:t>
      </w:r>
    </w:p>
    <w:p w14:paraId="5950683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pP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命题</w:t>
      </w:r>
      <w:r>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3：</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多功能快装房/棚设计</w:t>
      </w:r>
    </w:p>
    <w:p w14:paraId="5E991D6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lang w:val="en-US" w:eastAsia="zh-CN"/>
        </w:rPr>
      </w:pPr>
      <w:r>
        <w:rPr>
          <w:rFonts w:hint="default" w:ascii="Times New Roman Regular" w:hAnsi="Times New Roman Regular" w:eastAsia="仿宋_GB2312" w:cs="Times New Roman Regular"/>
          <w:sz w:val="32"/>
          <w:szCs w:val="32"/>
          <w:highlight w:val="none"/>
          <w:lang w:val="en-US" w:eastAsia="zh-CN"/>
        </w:rPr>
        <w:t>产品类别为工具房/棚、阳光房/棚、凉棚、车棚、园艺房、花房、宠物房等。要求以金属件为主体材料，创新设计可快速拆装的结构，可提高产品货运装箱量的新型结构、包装方式，更多模块化/系统化的产品创新设计及服务。</w:t>
      </w:r>
    </w:p>
    <w:p w14:paraId="11E8197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pP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命题</w:t>
      </w:r>
      <w:r>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4：</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户外休闲用品设计</w:t>
      </w:r>
    </w:p>
    <w:p w14:paraId="638AAF8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lang w:val="en-US" w:eastAsia="zh-CN"/>
        </w:rPr>
      </w:pPr>
      <w:r>
        <w:rPr>
          <w:rFonts w:hint="default" w:ascii="Times New Roman Regular" w:hAnsi="Times New Roman Regular" w:eastAsia="仿宋_GB2312" w:cs="Times New Roman Regular"/>
          <w:sz w:val="32"/>
          <w:szCs w:val="32"/>
          <w:highlight w:val="none"/>
          <w:lang w:val="en-US" w:eastAsia="zh-CN"/>
        </w:rPr>
        <w:t>产品类别为户外折叠家具、推车、车顶帐、户外宠物用品等。使用场景包括徒步、城市露营、庭院、公园、户外携宠等。材质包括铁管、铝管、碳纤维、牛津布等基础材料，以及创新材料、超轻材料。设计要求轻便、易携带、智能化，探索文化融合设计和不同功能、场景下的互动设计。</w:t>
      </w:r>
    </w:p>
    <w:p w14:paraId="08A19B3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pPr>
      <w:r>
        <w:rPr>
          <w:rFonts w:hint="eastAsia"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命题5：永康五金伴手礼设计</w:t>
      </w:r>
    </w:p>
    <w:p w14:paraId="3B0E52F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Times New Roman"/>
          <w:kern w:val="2"/>
          <w:sz w:val="32"/>
          <w:szCs w:val="32"/>
          <w:highlight w:val="none"/>
          <w:lang w:val="en-US" w:eastAsia="zh-CN" w:bidi="ar-SA"/>
        </w:rPr>
      </w:pPr>
      <w:r>
        <w:rPr>
          <w:rFonts w:hint="default" w:ascii="Times New Roman Regular" w:hAnsi="Times New Roman Regular" w:eastAsia="仿宋_GB2312" w:cs="Times New Roman Regular"/>
          <w:sz w:val="32"/>
          <w:szCs w:val="32"/>
          <w:highlight w:val="none"/>
          <w:lang w:val="en-US" w:eastAsia="zh-CN"/>
        </w:rPr>
        <w:t>聚焦永康五金基因与文化底蕴，征集以“五金产品为载体、城市特色为核心”的伴手礼，通过创新设计让五金制品升华为承载城市风貌、非遗符号、工匠精神的“文化信物”。设计方向包括：五金特色产品的礼品化设计：围绕五金产业拳头产品、优势产品的创新设计，要求设计系列产品及包装；永康特色文创衍生品设计：以五金工艺再造永康符号，设计IP形象、特色文创、旅游纪念品及其包装。设计方案应充分考虑商务接洽、活动纪念等实际场景，有仪式感。聚焦实体产品(农副产品除外)，符合现代制造技术，具有落地执行的必要条件。</w:t>
      </w:r>
    </w:p>
    <w:p w14:paraId="0B6F196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四、参赛对象</w:t>
      </w:r>
    </w:p>
    <w:p w14:paraId="5E8F13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default" w:ascii="Times New Roman Regular" w:hAnsi="Times New Roman Regular" w:eastAsia="仿宋_GB2312" w:cs="Times New Roman Regular"/>
          <w:b w:val="0"/>
          <w:sz w:val="32"/>
          <w:szCs w:val="32"/>
          <w:highlight w:val="none"/>
        </w:rPr>
        <w:t>浙江省普通高校全日制在校大学生，以团队的方式，通过学校推荐报名参赛。每个参赛队学生人数与指导教师人数均不超过3人。竞赛允许研究生与本专科生混合组队，排名不限，研究生不得单独组队。</w:t>
      </w:r>
    </w:p>
    <w:p w14:paraId="4ED0477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五、赛程安排</w:t>
      </w:r>
    </w:p>
    <w:p w14:paraId="7EC1337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1.初赛阶段（</w:t>
      </w:r>
      <w:r>
        <w:rPr>
          <w:rFonts w:hint="default" w:ascii="Times New Roman Regular" w:hAnsi="Times New Roman Regular" w:eastAsia="仿宋_GB2312" w:cs="Times New Roman Regular"/>
          <w:sz w:val="32"/>
          <w:szCs w:val="32"/>
          <w:highlight w:val="none"/>
          <w:lang w:val="en-US" w:eastAsia="zh-CN"/>
        </w:rPr>
        <w:t>5～7</w:t>
      </w:r>
      <w:r>
        <w:rPr>
          <w:rFonts w:hint="default" w:ascii="Times New Roman Regular" w:hAnsi="Times New Roman Regular" w:eastAsia="仿宋_GB2312" w:cs="Times New Roman Regular"/>
          <w:sz w:val="32"/>
          <w:szCs w:val="32"/>
          <w:highlight w:val="none"/>
        </w:rPr>
        <w:t xml:space="preserve">月）：各校参赛队以小组方式设计参赛作品，并由各学校经初评后提交至竞赛网络平台。根据各高校报送作品，组织邀请专家进行初赛评审，确定并公布入围决赛作品。 </w:t>
      </w:r>
    </w:p>
    <w:p w14:paraId="54DFB5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2.决赛阶段（</w:t>
      </w:r>
      <w:r>
        <w:rPr>
          <w:rFonts w:hint="default" w:ascii="Times New Roman Regular" w:hAnsi="Times New Roman Regular" w:eastAsia="仿宋_GB2312" w:cs="Times New Roman Regular"/>
          <w:sz w:val="32"/>
          <w:szCs w:val="32"/>
          <w:highlight w:val="none"/>
          <w:lang w:val="en-US" w:eastAsia="zh-CN"/>
        </w:rPr>
        <w:t>8～</w:t>
      </w:r>
      <w:r>
        <w:rPr>
          <w:rFonts w:hint="default" w:ascii="Times New Roman Regular" w:hAnsi="Times New Roman Regular" w:eastAsia="仿宋_GB2312" w:cs="Times New Roman Regular"/>
          <w:sz w:val="32"/>
          <w:szCs w:val="32"/>
          <w:highlight w:val="none"/>
        </w:rPr>
        <w:t>10月）：入围决赛作品需做进一步设计优化，制作较为详尽的产品结构图、尺寸图、产品展示动画以及实物模型。最终决赛以现场答辩的形式决出各奖项，参赛团队可以结合多种表现形式进行设计理念阐述。</w:t>
      </w:r>
    </w:p>
    <w:p w14:paraId="568B6E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六、评审标准</w:t>
      </w:r>
    </w:p>
    <w:p w14:paraId="659B2C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1.创新性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30分</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：作品在设计构想、功能、材料工艺等方面具有创新元素，体现设计美学。进一步的，作品应具备前瞻性，能够把握产品未来趋势。</w:t>
      </w:r>
    </w:p>
    <w:p w14:paraId="0D19D75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2.可行性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20分</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：作品应符合现代制造技术，充分体现模块化设计理念及实现定制的可能性，具有落地执行的必要条件。进一步的，能针对制造环节进行优化，通过设计降低企业成本、提升企业的经济效益。</w:t>
      </w:r>
    </w:p>
    <w:p w14:paraId="336771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3.市场与行业价值</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30分</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：作品应在经济社会、百姓生活中具有实用性，并能满足市场需求。进一步的，在具有较高市场价值和爆品潜力的同时，具有一定的示范作用，能对五金产业发展做出贡献，实现价值共创。</w:t>
      </w:r>
    </w:p>
    <w:p w14:paraId="24D89CB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default" w:ascii="Times New Roman Regular" w:hAnsi="Times New Roman Regular" w:eastAsia="仿宋_GB2312" w:cs="Times New Roman Regular"/>
          <w:sz w:val="32"/>
          <w:szCs w:val="32"/>
          <w:highlight w:val="none"/>
        </w:rPr>
        <w:t>4.完整性</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20分</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：作品应充分、完整的表达设计概念与特色。进一步的，作品不局限于单件产品设计，以系列化或系统化的理念提出完整的产品及服务设计。</w:t>
      </w:r>
    </w:p>
    <w:p w14:paraId="5F1BB30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七、奖项设置</w:t>
      </w:r>
    </w:p>
    <w:p w14:paraId="780F59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default" w:ascii="Times New Roman Regular" w:hAnsi="Times New Roman Regular" w:eastAsia="仿宋_GB2312" w:cs="Times New Roman Regular"/>
          <w:b w:val="0"/>
          <w:sz w:val="32"/>
          <w:szCs w:val="32"/>
          <w:highlight w:val="none"/>
        </w:rPr>
        <w:t>本产业赛道按一等奖10项、二等奖20项、三等奖40项比例设立（若作品不足200件，则按照总作品数量5%、10%、20%的比例确定各奖项）。</w:t>
      </w:r>
      <w:r>
        <w:rPr>
          <w:rFonts w:hint="eastAsia" w:ascii="仿宋_GB2312" w:hAnsi="仿宋_GB2312" w:eastAsia="仿宋_GB2312"/>
          <w:sz w:val="32"/>
          <w:szCs w:val="32"/>
          <w:highlight w:val="none"/>
        </w:rPr>
        <w:t>其中一等奖作品将颁发“五金产品设计孵化基金”</w:t>
      </w:r>
      <w:r>
        <w:rPr>
          <w:rFonts w:hint="default" w:ascii="Times New Roman Regular" w:hAnsi="Times New Roman Regular" w:eastAsia="仿宋_GB2312" w:cs="Times New Roman Regular"/>
          <w:sz w:val="32"/>
          <w:szCs w:val="32"/>
          <w:highlight w:val="none"/>
        </w:rPr>
        <w:t>5000 元（税前）以兹鼓励</w:t>
      </w:r>
      <w:r>
        <w:rPr>
          <w:rFonts w:hint="eastAsia" w:ascii="仿宋_GB2312" w:hAnsi="仿宋_GB2312" w:eastAsia="仿宋_GB2312"/>
          <w:sz w:val="32"/>
          <w:szCs w:val="32"/>
          <w:highlight w:val="none"/>
        </w:rPr>
        <w:t>。（奖金发放说明：奖金将发放给作品报名表中排位第一的作者，具体分配由团队内部协商）</w:t>
      </w:r>
    </w:p>
    <w:p w14:paraId="24ED6D4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default" w:ascii="Times New Roman Regular" w:hAnsi="Times New Roman Regular" w:eastAsia="仿宋_GB2312" w:cs="Times New Roman Regular"/>
          <w:b w:val="0"/>
          <w:sz w:val="32"/>
          <w:szCs w:val="32"/>
          <w:highlight w:val="none"/>
        </w:rPr>
        <w:t>本产业赛道与五金创新设计大奖</w:t>
      </w:r>
      <w:r>
        <w:rPr>
          <w:rFonts w:hint="eastAsia" w:ascii="Times New Roman Regular" w:hAnsi="Times New Roman Regular" w:eastAsia="仿宋_GB2312" w:cs="Times New Roman Regular"/>
          <w:b w:val="0"/>
          <w:sz w:val="32"/>
          <w:szCs w:val="32"/>
          <w:highlight w:val="none"/>
          <w:lang w:eastAsia="zh-CN"/>
        </w:rPr>
        <w:t>（</w:t>
      </w:r>
      <w:r>
        <w:rPr>
          <w:rFonts w:hint="default" w:ascii="Times New Roman Regular" w:hAnsi="Times New Roman Regular" w:eastAsia="仿宋_GB2312" w:cs="Times New Roman Regular"/>
          <w:b w:val="0"/>
          <w:sz w:val="32"/>
          <w:szCs w:val="32"/>
          <w:highlight w:val="none"/>
        </w:rPr>
        <w:t>原中国五金产品国际工业设计大赛</w:t>
      </w:r>
      <w:r>
        <w:rPr>
          <w:rFonts w:hint="eastAsia" w:ascii="Times New Roman Regular" w:hAnsi="Times New Roman Regular" w:eastAsia="仿宋_GB2312" w:cs="Times New Roman Regular"/>
          <w:b w:val="0"/>
          <w:sz w:val="32"/>
          <w:szCs w:val="32"/>
          <w:highlight w:val="none"/>
          <w:lang w:eastAsia="zh-CN"/>
        </w:rPr>
        <w:t>）</w:t>
      </w:r>
      <w:r>
        <w:rPr>
          <w:rFonts w:hint="default" w:ascii="Times New Roman Regular" w:hAnsi="Times New Roman Regular" w:eastAsia="仿宋_GB2312" w:cs="Times New Roman Regular"/>
          <w:b w:val="0"/>
          <w:sz w:val="32"/>
          <w:szCs w:val="32"/>
          <w:highlight w:val="none"/>
        </w:rPr>
        <w:t>深度联动。五金产业赛道一、二、三等奖获奖作品直接入围复评评审。</w:t>
      </w:r>
    </w:p>
    <w:p w14:paraId="40F65E7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color w:val="auto"/>
          <w:sz w:val="32"/>
          <w:szCs w:val="32"/>
          <w:highlight w:val="none"/>
        </w:rPr>
      </w:pPr>
      <w:r>
        <w:rPr>
          <w:rFonts w:hint="eastAsia" w:ascii="黑体" w:hAnsi="黑体" w:eastAsia="黑体" w:cs="黑体"/>
          <w:b w:val="0"/>
          <w:color w:val="auto"/>
          <w:sz w:val="32"/>
          <w:szCs w:val="32"/>
          <w:highlight w:val="none"/>
        </w:rPr>
        <w:t>八、作品要求</w:t>
      </w:r>
    </w:p>
    <w:p w14:paraId="5B82EEE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ascii="Times New Roman Regular" w:hAnsi="Times New Roman Regular" w:eastAsia="仿宋_GB2312" w:cs="Times New Roman Regular"/>
          <w:b w:val="0"/>
          <w:sz w:val="32"/>
          <w:szCs w:val="32"/>
          <w:highlight w:val="none"/>
          <w:lang w:val="en-US" w:eastAsia="zh-CN"/>
        </w:rPr>
        <w:t>1.</w:t>
      </w:r>
      <w:r>
        <w:rPr>
          <w:rFonts w:hint="eastAsia" w:eastAsia="仿宋_GB2312"/>
          <w:sz w:val="32"/>
          <w:szCs w:val="32"/>
          <w:highlight w:val="none"/>
        </w:rPr>
        <w:t xml:space="preserve">初赛作品需提交A2，竖版构图版面 1 张（尺寸为420mm ×594mm，分辨率为300dpi，格式为jpg格式），文件大小不超过5M，版面内容包含主题、效果图、必要的结构图、 基本外观尺寸图及说明文字等。 </w:t>
      </w:r>
    </w:p>
    <w:p w14:paraId="49151E9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lang w:val="en-US" w:eastAsia="zh-CN"/>
        </w:rPr>
        <w:t>2</w:t>
      </w:r>
      <w:r>
        <w:rPr>
          <w:rFonts w:hint="eastAsia" w:eastAsia="仿宋_GB2312"/>
          <w:sz w:val="32"/>
          <w:szCs w:val="32"/>
          <w:highlight w:val="none"/>
        </w:rPr>
        <w:t>.入围决赛作品需制作样机（模型）、展示版面（</w:t>
      </w:r>
      <w:r>
        <w:rPr>
          <w:rFonts w:hint="default" w:ascii="Times New Roman Regular" w:hAnsi="Times New Roman Regular" w:eastAsia="仿宋_GB2312" w:cs="Times New Roman Regular"/>
          <w:sz w:val="32"/>
          <w:szCs w:val="32"/>
          <w:highlight w:val="none"/>
        </w:rPr>
        <w:t>尺寸为800mm×1800mm，分辨率为144dpi，色彩模式为RGB模式，格式为jpg格式</w:t>
      </w:r>
      <w:r>
        <w:rPr>
          <w:rFonts w:hint="eastAsia" w:eastAsia="仿宋_GB2312"/>
          <w:sz w:val="32"/>
          <w:szCs w:val="32"/>
          <w:highlight w:val="none"/>
        </w:rPr>
        <w:t xml:space="preserve">）和答辩文件（格式可以为PowerPoint、 PDF 或者 Video(MP4)的形式）等。 </w:t>
      </w:r>
    </w:p>
    <w:p w14:paraId="54B09BF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color w:val="FF0000"/>
          <w:sz w:val="32"/>
          <w:szCs w:val="32"/>
          <w:highlight w:val="none"/>
        </w:rPr>
      </w:pPr>
      <w:r>
        <w:rPr>
          <w:rFonts w:hint="eastAsia" w:eastAsia="仿宋_GB2312"/>
          <w:sz w:val="32"/>
          <w:szCs w:val="32"/>
          <w:highlight w:val="none"/>
          <w:lang w:val="en-US" w:eastAsia="zh-CN"/>
        </w:rPr>
        <w:t>3.</w:t>
      </w:r>
      <w:r>
        <w:rPr>
          <w:rFonts w:hint="eastAsia" w:eastAsia="仿宋_GB2312"/>
          <w:sz w:val="32"/>
          <w:szCs w:val="32"/>
          <w:highlight w:val="none"/>
        </w:rPr>
        <w:t>为保证本次竞赛评选的公正性，参赛作品、版面和电子演讲稿上不得出现作者所在单位、姓名</w:t>
      </w:r>
      <w:r>
        <w:rPr>
          <w:rFonts w:hint="eastAsia" w:eastAsia="仿宋_GB2312"/>
          <w:sz w:val="32"/>
          <w:szCs w:val="32"/>
          <w:highlight w:val="none"/>
          <w:lang w:eastAsia="zh-CN"/>
        </w:rPr>
        <w:t>（</w:t>
      </w:r>
      <w:r>
        <w:rPr>
          <w:rFonts w:hint="eastAsia" w:eastAsia="仿宋_GB2312"/>
          <w:sz w:val="32"/>
          <w:szCs w:val="32"/>
          <w:highlight w:val="none"/>
        </w:rPr>
        <w:t>包括英文或拼音缩写</w:t>
      </w:r>
      <w:r>
        <w:rPr>
          <w:rFonts w:hint="eastAsia" w:eastAsia="仿宋_GB2312"/>
          <w:sz w:val="32"/>
          <w:szCs w:val="32"/>
          <w:highlight w:val="none"/>
          <w:lang w:eastAsia="zh-CN"/>
        </w:rPr>
        <w:t>）</w:t>
      </w:r>
      <w:r>
        <w:rPr>
          <w:rFonts w:hint="eastAsia" w:eastAsia="仿宋_GB2312"/>
          <w:sz w:val="32"/>
          <w:szCs w:val="32"/>
          <w:highlight w:val="none"/>
        </w:rPr>
        <w:t xml:space="preserve">，或与作者身份有关的任何图标、形等个人信息资料，违者将作为无效作品处理。 </w:t>
      </w:r>
    </w:p>
    <w:p w14:paraId="7479038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九、作品版权说明</w:t>
      </w:r>
    </w:p>
    <w:p w14:paraId="736A5A2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eastAsia" w:ascii="Times New Roman Regular" w:hAnsi="Times New Roman Regular" w:eastAsia="仿宋_GB2312" w:cs="Times New Roman Regular"/>
          <w:b w:val="0"/>
          <w:sz w:val="32"/>
          <w:szCs w:val="32"/>
          <w:highlight w:val="none"/>
          <w:lang w:val="en-US" w:eastAsia="zh-CN"/>
        </w:rPr>
        <w:t>1.参赛作品必须是参赛者原创作品，参赛者承诺对作品拥有充分、完全、自主知识产权，未侵犯任何他人的任何专利、著作权、商标权及其他知识产权。该作品未在报刊、杂志、网站及其他媒体公开发表，未申请专利或进行版权登记的作品，未参加过其他比赛，未以任何形式进入商业渠道。大赛不承担因作品侵犯他人（或单位）的权利而产生的法律责任，其法律责任由参赛者本人承担</w:t>
      </w:r>
      <w:r>
        <w:rPr>
          <w:rFonts w:hint="default" w:ascii="Times New Roman Regular" w:hAnsi="Times New Roman Regular" w:eastAsia="仿宋_GB2312" w:cs="Times New Roman Regular"/>
          <w:b w:val="0"/>
          <w:sz w:val="32"/>
          <w:szCs w:val="32"/>
          <w:highlight w:val="none"/>
        </w:rPr>
        <w:t xml:space="preserve">。 </w:t>
      </w:r>
    </w:p>
    <w:p w14:paraId="3D0D0A2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eastAsia" w:ascii="Times New Roman Regular" w:hAnsi="Times New Roman Regular" w:eastAsia="仿宋_GB2312" w:cs="Times New Roman Regular"/>
          <w:b w:val="0"/>
          <w:sz w:val="32"/>
          <w:szCs w:val="32"/>
          <w:highlight w:val="none"/>
          <w:lang w:val="en-US" w:eastAsia="zh-CN"/>
        </w:rPr>
        <w:t>2.</w:t>
      </w:r>
      <w:r>
        <w:rPr>
          <w:rFonts w:hint="eastAsia" w:eastAsia="仿宋_GB2312"/>
          <w:sz w:val="32"/>
          <w:szCs w:val="32"/>
          <w:highlight w:val="none"/>
        </w:rPr>
        <w:t>荣获“五金产品设计孵化基金”的作品版权归大赛组委会所有，作者享有署名权，大赛组委会独家拥有包括但不限于以下方式行使著作权：享有对所属大赛作品方案进行再设计、生产、销售、展示、出版和宣传等权利。获奖参赛者保证参赛作品终身不以同一作品形式参加其他设计比赛或转让给他方。否则大赛有权取消其获奖资格，收回奖品，并保留追究法律责任的权利。</w:t>
      </w:r>
    </w:p>
    <w:p w14:paraId="55FAC77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b w:val="0"/>
          <w:sz w:val="32"/>
          <w:szCs w:val="32"/>
          <w:highlight w:val="none"/>
        </w:rPr>
      </w:pPr>
      <w:r>
        <w:rPr>
          <w:rFonts w:hint="eastAsia" w:ascii="黑体" w:hAnsi="黑体" w:eastAsia="黑体" w:cs="黑体"/>
          <w:b w:val="0"/>
          <w:sz w:val="32"/>
          <w:szCs w:val="32"/>
          <w:highlight w:val="none"/>
        </w:rPr>
        <w:t>十、联系方式</w:t>
      </w:r>
    </w:p>
    <w:p w14:paraId="370967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rPr>
        <w:t>联系地址：浙江省杭州市西湖区屏新路18号520新天地2号楼</w:t>
      </w:r>
    </w:p>
    <w:p w14:paraId="604FF7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sz w:val="32"/>
          <w:szCs w:val="32"/>
          <w:highlight w:val="none"/>
        </w:rPr>
      </w:pPr>
      <w:r>
        <w:rPr>
          <w:rFonts w:hint="eastAsia" w:eastAsia="仿宋_GB2312"/>
          <w:sz w:val="32"/>
          <w:szCs w:val="32"/>
          <w:highlight w:val="none"/>
        </w:rPr>
        <w:t>联系人：朱老师（13777803747）</w:t>
      </w:r>
    </w:p>
    <w:p w14:paraId="2E50BF45">
      <w:pPr>
        <w:rPr>
          <w:rFonts w:hint="eastAsia" w:eastAsia="仿宋_GB2312"/>
          <w:sz w:val="32"/>
          <w:szCs w:val="32"/>
          <w:highlight w:val="none"/>
        </w:rPr>
      </w:pPr>
      <w:r>
        <w:rPr>
          <w:rFonts w:hint="eastAsia" w:eastAsia="仿宋_GB2312"/>
          <w:sz w:val="32"/>
          <w:szCs w:val="32"/>
          <w:highlight w:val="none"/>
        </w:rPr>
        <w:br w:type="page"/>
      </w:r>
    </w:p>
    <w:p w14:paraId="350B986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eastAsia="方正小标宋简体"/>
          <w:sz w:val="44"/>
          <w:szCs w:val="44"/>
          <w:highlight w:val="none"/>
          <w:lang w:val="en-US" w:eastAsia="zh-CN"/>
        </w:rPr>
      </w:pPr>
      <w:bookmarkStart w:id="0" w:name="OLE_LINK2"/>
      <w:bookmarkStart w:id="1" w:name="OLE_LINK1"/>
      <w:r>
        <w:rPr>
          <w:rFonts w:hint="eastAsia" w:eastAsia="方正小标宋简体"/>
          <w:sz w:val="44"/>
          <w:szCs w:val="44"/>
          <w:highlight w:val="none"/>
        </w:rPr>
        <w:t>黄岩模塑</w:t>
      </w:r>
      <w:r>
        <w:rPr>
          <w:rFonts w:hint="eastAsia" w:eastAsia="方正小标宋简体"/>
          <w:sz w:val="44"/>
          <w:szCs w:val="44"/>
          <w:highlight w:val="none"/>
          <w:lang w:val="en-US" w:eastAsia="zh-CN"/>
        </w:rPr>
        <w:t>产</w:t>
      </w:r>
      <w:r>
        <w:rPr>
          <w:rFonts w:hint="eastAsia" w:eastAsia="方正小标宋简体"/>
          <w:sz w:val="44"/>
          <w:szCs w:val="44"/>
          <w:highlight w:val="none"/>
        </w:rPr>
        <w:t>品产业赛</w:t>
      </w:r>
      <w:bookmarkEnd w:id="0"/>
      <w:r>
        <w:rPr>
          <w:rFonts w:hint="eastAsia" w:eastAsia="方正小标宋简体"/>
          <w:sz w:val="44"/>
          <w:szCs w:val="44"/>
          <w:highlight w:val="none"/>
          <w:lang w:val="en-US" w:eastAsia="zh-CN"/>
        </w:rPr>
        <w:t>细则</w:t>
      </w:r>
    </w:p>
    <w:bookmarkEnd w:id="1"/>
    <w:p w14:paraId="63BB9E2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一、产业背景</w:t>
      </w:r>
    </w:p>
    <w:p w14:paraId="1DE35A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台州黄岩是中国模塑产业的核心聚集区，依托“黄岩智能模具小镇”的产业集群优势，形成了以精密注塑、快速开模为核心的模塑产业链，覆盖塑料原料供应、模具设计、生产制造及检测服务全环节。拥有完整的模具设计、制造产业链和成熟的塑料制品生产能力，被誉为“中国模具之乡”。</w:t>
      </w:r>
      <w:r>
        <w:rPr>
          <w:rFonts w:hint="default" w:ascii="Times New Roman Regular" w:hAnsi="Times New Roman Regular" w:eastAsia="仿宋_GB2312" w:cs="Times New Roman Regular"/>
          <w:sz w:val="32"/>
          <w:szCs w:val="32"/>
          <w:highlight w:val="none"/>
        </w:rPr>
        <w:t>黄岩历经四十余年发展已形成全球领先的模塑产业集群。该区域以注塑工艺为主导生产模式，年产模具约占全国总量的15%，塑料制品出口覆盖150余个国家和地区。</w:t>
      </w:r>
    </w:p>
    <w:p w14:paraId="351B19B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lang w:eastAsia="zh-CN"/>
        </w:rPr>
      </w:pPr>
      <w:r>
        <w:rPr>
          <w:rFonts w:hint="default" w:ascii="Times New Roman Regular" w:hAnsi="Times New Roman Regular" w:eastAsia="仿宋_GB2312" w:cs="Times New Roman Regular"/>
          <w:sz w:val="32"/>
          <w:szCs w:val="32"/>
          <w:highlight w:val="none"/>
        </w:rPr>
        <w:t>宠物用品与收纳类塑料产品是宠物经济爆发式增长中的高潜力赛道。202</w:t>
      </w:r>
      <w:r>
        <w:rPr>
          <w:rFonts w:hint="default" w:ascii="Times New Roman Regular" w:hAnsi="Times New Roman Regular" w:eastAsia="仿宋_GB2312" w:cs="Times New Roman Regular"/>
          <w:sz w:val="32"/>
          <w:szCs w:val="32"/>
          <w:highlight w:val="none"/>
          <w:lang w:val="en-US" w:eastAsia="zh-CN"/>
        </w:rPr>
        <w:t>4</w:t>
      </w:r>
      <w:r>
        <w:rPr>
          <w:rFonts w:hint="default" w:ascii="Times New Roman Regular" w:hAnsi="Times New Roman Regular" w:eastAsia="仿宋_GB2312" w:cs="Times New Roman Regular"/>
          <w:sz w:val="32"/>
          <w:szCs w:val="32"/>
          <w:highlight w:val="none"/>
        </w:rPr>
        <w:t>年中国宠物市场规模突破3200亿元，</w:t>
      </w:r>
      <w:r>
        <w:rPr>
          <w:rFonts w:hint="default" w:ascii="Times New Roman Regular" w:hAnsi="Times New Roman Regular" w:eastAsia="仿宋_GB2312" w:cs="Times New Roman Regular"/>
          <w:sz w:val="32"/>
          <w:szCs w:val="32"/>
          <w:highlight w:val="none"/>
          <w:lang w:val="en-US" w:eastAsia="zh-CN"/>
        </w:rPr>
        <w:t>塑料</w:t>
      </w:r>
      <w:r>
        <w:rPr>
          <w:rFonts w:hint="default" w:ascii="Times New Roman Regular" w:hAnsi="Times New Roman Regular" w:eastAsia="仿宋_GB2312" w:cs="Times New Roman Regular"/>
          <w:sz w:val="32"/>
          <w:szCs w:val="32"/>
          <w:highlight w:val="none"/>
        </w:rPr>
        <w:t>宠物用品占比16%，年增长率达22%</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25%。</w:t>
      </w:r>
      <w:r>
        <w:rPr>
          <w:rFonts w:hint="eastAsia" w:ascii="仿宋_GB2312" w:hAnsi="仿宋_GB2312" w:eastAsia="仿宋_GB2312"/>
          <w:sz w:val="32"/>
          <w:szCs w:val="32"/>
          <w:highlight w:val="none"/>
        </w:rPr>
        <w:t>当前市场呈现</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产品碎片化、功能单一化、体验低端化</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特征</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多功能集成、智能监测、健康管理的创新产品设计，有望重新定义品类价值，抢占</w:t>
      </w:r>
      <w:r>
        <w:rPr>
          <w:rFonts w:hint="eastAsia" w:ascii="仿宋_GB2312" w:hAnsi="仿宋_GB2312" w:eastAsia="仿宋_GB2312"/>
          <w:sz w:val="32"/>
          <w:szCs w:val="32"/>
          <w:highlight w:val="none"/>
          <w:lang w:val="en-US" w:eastAsia="zh-CN"/>
        </w:rPr>
        <w:t>国内外的</w:t>
      </w:r>
      <w:r>
        <w:rPr>
          <w:rFonts w:hint="eastAsia" w:ascii="仿宋_GB2312" w:hAnsi="仿宋_GB2312" w:eastAsia="仿宋_GB2312"/>
          <w:sz w:val="32"/>
          <w:szCs w:val="32"/>
          <w:highlight w:val="none"/>
        </w:rPr>
        <w:t>蓝海市场。</w:t>
      </w:r>
    </w:p>
    <w:p w14:paraId="4671225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default" w:ascii="Times New Roman Regular" w:hAnsi="Times New Roman Regular" w:eastAsia="仿宋_GB2312" w:cs="Times New Roman Regular"/>
          <w:sz w:val="32"/>
          <w:szCs w:val="32"/>
          <w:highlight w:val="none"/>
        </w:rPr>
        <w:t>智能塑料收纳箱类产品是家居收纳市场的战略要地。</w:t>
      </w:r>
      <w:r>
        <w:rPr>
          <w:rFonts w:hint="default" w:ascii="Times New Roman Regular" w:hAnsi="Times New Roman Regular" w:eastAsia="仿宋_GB2312" w:cs="Times New Roman Regular"/>
          <w:sz w:val="32"/>
          <w:szCs w:val="32"/>
          <w:highlight w:val="none"/>
          <w:lang w:val="en-US" w:eastAsia="zh-CN"/>
        </w:rPr>
        <w:t>近</w:t>
      </w:r>
      <w:r>
        <w:rPr>
          <w:rFonts w:hint="default" w:ascii="Times New Roman Regular" w:hAnsi="Times New Roman Regular" w:eastAsia="仿宋_GB2312" w:cs="Times New Roman Regular"/>
          <w:sz w:val="32"/>
          <w:szCs w:val="32"/>
          <w:highlight w:val="none"/>
        </w:rPr>
        <w:t>年中国收纳用品市场规模达620亿元，其中塑料材质占比55%，年增长率9%</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11%。然而，智能化收纳产品的渗透率不足3%，与智能家电32%的渗透率形成巨大落差。这一差距源于传统收纳产品的功能定位局限</w:t>
      </w:r>
      <w:r>
        <w:rPr>
          <w:rFonts w:hint="eastAsia" w:ascii="Times New Roman Regular" w:hAnsi="Times New Roman Regular" w:eastAsia="仿宋_GB2312" w:cs="Times New Roman Regular"/>
          <w:sz w:val="32"/>
          <w:szCs w:val="32"/>
          <w:highlight w:val="none"/>
          <w:lang w:val="en-US" w:eastAsia="zh-CN"/>
        </w:rPr>
        <w:t>——</w:t>
      </w:r>
      <w:r>
        <w:rPr>
          <w:rFonts w:hint="default" w:ascii="Times New Roman Regular" w:hAnsi="Times New Roman Regular" w:eastAsia="仿宋_GB2312" w:cs="Times New Roman Regular"/>
          <w:sz w:val="32"/>
          <w:szCs w:val="32"/>
          <w:highlight w:val="none"/>
        </w:rPr>
        <w:t>仅提供物理容器价值，未介入物品管理流程。随着单身经济、小户型居住、租房流动等社会趋势的深化，消费</w:t>
      </w:r>
      <w:r>
        <w:rPr>
          <w:rFonts w:hint="eastAsia" w:ascii="仿宋_GB2312" w:hAnsi="仿宋_GB2312" w:eastAsia="仿宋_GB2312"/>
          <w:sz w:val="32"/>
          <w:szCs w:val="32"/>
          <w:highlight w:val="none"/>
        </w:rPr>
        <w:t>者对“空间效率+时间管理+决策辅助”的综合需求日益强烈，为智能化升级创造了市场窗口。</w:t>
      </w:r>
    </w:p>
    <w:p w14:paraId="2A1E8B3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sz w:val="32"/>
          <w:szCs w:val="32"/>
          <w:highlight w:val="none"/>
        </w:rPr>
      </w:pPr>
      <w:r>
        <w:rPr>
          <w:rFonts w:hint="default" w:ascii="Times New Roman Regular" w:hAnsi="Times New Roman Regular" w:eastAsia="仿宋_GB2312" w:cs="Times New Roman Regular"/>
          <w:sz w:val="32"/>
          <w:szCs w:val="32"/>
          <w:highlight w:val="none"/>
        </w:rPr>
        <w:t>本次产业赛旨在结合黄岩模塑产业特色，推动大学生创新设计与地方产业资源深度融合，聚焦</w:t>
      </w:r>
      <w:r>
        <w:rPr>
          <w:rFonts w:hint="default" w:ascii="Times New Roman Regular" w:hAnsi="Times New Roman Regular" w:eastAsia="仿宋_GB2312" w:cs="Times New Roman Regular"/>
          <w:sz w:val="32"/>
          <w:szCs w:val="32"/>
          <w:highlight w:val="none"/>
          <w:lang w:val="en-US" w:eastAsia="zh-CN"/>
        </w:rPr>
        <w:t>宠物用品与</w:t>
      </w:r>
      <w:r>
        <w:rPr>
          <w:rFonts w:hint="default" w:ascii="Times New Roman Regular" w:hAnsi="Times New Roman Regular" w:eastAsia="仿宋_GB2312" w:cs="Times New Roman Regular"/>
          <w:sz w:val="32"/>
          <w:szCs w:val="32"/>
          <w:highlight w:val="none"/>
        </w:rPr>
        <w:t>收纳类塑料产品的功能优化、结构创新及CMF（色彩、材料、表面处理）设计，助力产品升级与市场拓展。通过竞赛可以激发大学生创新潜能，设计符合市场需求、技术可行的塑料产品推动产学研结合，结合黄岩模塑产业优势，推动作品向产业化转化，助力企业升级产品线，为黄岩模塑企业输送具备设计思维与技术实践能力的复合型人才。</w:t>
      </w:r>
    </w:p>
    <w:p w14:paraId="562E606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黑体" w:hAnsi="黑体" w:eastAsia="黑体"/>
          <w:sz w:val="32"/>
          <w:szCs w:val="32"/>
          <w:highlight w:val="none"/>
          <w:lang w:val="en-US" w:eastAsia="zh-CN"/>
        </w:rPr>
      </w:pPr>
      <w:r>
        <w:rPr>
          <w:rFonts w:hint="eastAsia" w:ascii="黑体" w:hAnsi="黑体" w:eastAsia="黑体"/>
          <w:sz w:val="32"/>
          <w:szCs w:val="32"/>
          <w:highlight w:val="none"/>
        </w:rPr>
        <w:t>二、</w:t>
      </w:r>
      <w:r>
        <w:rPr>
          <w:rFonts w:hint="eastAsia" w:ascii="黑体" w:hAnsi="黑体" w:eastAsia="黑体"/>
          <w:sz w:val="32"/>
          <w:szCs w:val="32"/>
          <w:highlight w:val="none"/>
          <w:lang w:val="en-US" w:eastAsia="zh-CN"/>
        </w:rPr>
        <w:t>组织机构</w:t>
      </w:r>
    </w:p>
    <w:p w14:paraId="3120EF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Regular" w:hAnsi="Times New Roman Regular" w:eastAsia="仿宋_GB2312" w:cs="Times New Roman Regular"/>
          <w:sz w:val="32"/>
          <w:szCs w:val="32"/>
          <w:highlight w:val="none"/>
          <w:lang w:eastAsia="zh-CN"/>
        </w:rPr>
      </w:pPr>
      <w:r>
        <w:rPr>
          <w:rFonts w:hint="eastAsia" w:ascii="Times New Roman Regular" w:hAnsi="Times New Roman Regular" w:eastAsia="仿宋_GB2312" w:cs="Times New Roman Regular"/>
          <w:sz w:val="32"/>
          <w:szCs w:val="32"/>
          <w:highlight w:val="none"/>
        </w:rPr>
        <w:t>承办单位：台州市品唤塑业有限公司</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lang w:val="en-US" w:eastAsia="zh-CN"/>
        </w:rPr>
        <w:t>台州市三普模具股份有限公司</w:t>
      </w:r>
    </w:p>
    <w:p w14:paraId="7425F54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协办单位：台州市黄岩区经济和信息化局、黄岩区协同创新中心、台州智能模具小镇、浙江省中模数据科技有限公司、浙江同丰工艺品有限公司、台州慧模科技有限公司、智能模具浙江省重点现代产业学院</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台州工程师学院</w:t>
      </w:r>
    </w:p>
    <w:p w14:paraId="5B8E011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三、</w:t>
      </w:r>
      <w:r>
        <w:rPr>
          <w:rFonts w:hint="eastAsia" w:ascii="黑体" w:hAnsi="黑体" w:eastAsia="黑体"/>
          <w:sz w:val="32"/>
          <w:szCs w:val="32"/>
          <w:highlight w:val="none"/>
          <w:lang w:val="en-US" w:eastAsia="zh-CN"/>
        </w:rPr>
        <w:t>赛道</w:t>
      </w:r>
      <w:r>
        <w:rPr>
          <w:rFonts w:hint="eastAsia" w:ascii="黑体" w:hAnsi="黑体" w:eastAsia="黑体"/>
          <w:sz w:val="32"/>
          <w:szCs w:val="32"/>
          <w:highlight w:val="none"/>
        </w:rPr>
        <w:t>命题</w:t>
      </w:r>
    </w:p>
    <w:p w14:paraId="68A824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olor w:val="0000FF"/>
          <w:sz w:val="32"/>
          <w:szCs w:val="32"/>
          <w:highlight w:val="none"/>
        </w:rPr>
      </w:pPr>
      <w:r>
        <w:rPr>
          <w:rFonts w:hint="eastAsia" w:ascii="仿宋_GB2312" w:hAnsi="仿宋_GB2312" w:eastAsia="仿宋_GB2312"/>
          <w:color w:val="auto"/>
          <w:sz w:val="32"/>
          <w:szCs w:val="32"/>
          <w:highlight w:val="none"/>
        </w:rPr>
        <w:t>竞赛聚焦收</w:t>
      </w:r>
      <w:r>
        <w:rPr>
          <w:rFonts w:hint="eastAsia" w:ascii="仿宋_GB2312" w:hAnsi="仿宋_GB2312" w:eastAsia="仿宋_GB2312"/>
          <w:color w:val="auto"/>
          <w:sz w:val="32"/>
          <w:szCs w:val="32"/>
          <w:highlight w:val="none"/>
          <w:lang w:val="en-US" w:eastAsia="zh-CN"/>
        </w:rPr>
        <w:t>宠物用品与收</w:t>
      </w:r>
      <w:r>
        <w:rPr>
          <w:rFonts w:hint="eastAsia" w:ascii="仿宋_GB2312" w:hAnsi="仿宋_GB2312" w:eastAsia="仿宋_GB2312"/>
          <w:color w:val="auto"/>
          <w:sz w:val="32"/>
          <w:szCs w:val="32"/>
          <w:highlight w:val="none"/>
        </w:rPr>
        <w:t>纳类塑料产品产业现状与需求，围绕智能塑料</w:t>
      </w:r>
      <w:r>
        <w:rPr>
          <w:rFonts w:hint="eastAsia" w:ascii="仿宋_GB2312" w:hAnsi="仿宋_GB2312" w:eastAsia="仿宋_GB2312"/>
          <w:color w:val="auto"/>
          <w:sz w:val="32"/>
          <w:szCs w:val="32"/>
          <w:highlight w:val="none"/>
          <w:lang w:val="en-US" w:eastAsia="zh-CN"/>
        </w:rPr>
        <w:t>宠物、</w:t>
      </w:r>
      <w:r>
        <w:rPr>
          <w:rFonts w:hint="eastAsia" w:ascii="仿宋_GB2312" w:hAnsi="仿宋_GB2312" w:eastAsia="仿宋_GB2312"/>
          <w:color w:val="auto"/>
          <w:sz w:val="32"/>
          <w:szCs w:val="32"/>
          <w:highlight w:val="none"/>
        </w:rPr>
        <w:t>收纳类等产品，从主题设计、潮流风格、应用环境、功能结构、适合家庭</w:t>
      </w:r>
      <w:r>
        <w:rPr>
          <w:rFonts w:hint="eastAsia" w:ascii="仿宋_GB2312" w:hAnsi="仿宋_GB2312" w:eastAsia="仿宋_GB2312"/>
          <w:color w:val="auto"/>
          <w:sz w:val="32"/>
          <w:szCs w:val="32"/>
          <w:highlight w:val="none"/>
          <w:lang w:val="en-US" w:eastAsia="zh-CN"/>
        </w:rPr>
        <w:t>及多场合</w:t>
      </w:r>
      <w:r>
        <w:rPr>
          <w:rFonts w:hint="eastAsia" w:ascii="仿宋_GB2312" w:hAnsi="仿宋_GB2312" w:eastAsia="仿宋_GB2312"/>
          <w:color w:val="auto"/>
          <w:sz w:val="32"/>
          <w:szCs w:val="32"/>
          <w:highlight w:val="none"/>
        </w:rPr>
        <w:t>使用等角度切入开展具体的创新设计及主要部件的模具设计。</w:t>
      </w:r>
    </w:p>
    <w:p w14:paraId="541479A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在设计方面，在审美要素上接受多元化的设计风格，造型聚焦潮流趋势，具有较好的美观性，符合消费者审美需求；在创新理念上，考虑多样化使用场景，群体的使用需求及合理的智能化创新。在功能创新上，融入智能化技术（如传感器应用）或模块化设计，解决用户痛点。在环保与可持续上，优先选用可回收塑料或可降解材料，优化生命周期设计。在用户体验上，注重人机交互细节（如快拆快装结构、轻量化设计）。在工艺适配性上，符合黄岩模塑产业特点（如注塑工艺限制、模具复杂度控制）。</w:t>
      </w:r>
    </w:p>
    <w:p w14:paraId="3F8FE27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1</w:t>
      </w:r>
      <w:r>
        <w:rPr>
          <w:rFonts w:hint="eastAsia" w:ascii="楷体_GB2312" w:hAnsi="楷体_GB2312" w:eastAsia="楷体_GB2312" w:cs="楷体_GB2312"/>
          <w:color w:val="000000" w:themeColor="text1"/>
          <w:sz w:val="32"/>
          <w:szCs w:val="32"/>
          <w:highlight w:val="none"/>
          <w14:textFill>
            <w14:solidFill>
              <w14:schemeClr w14:val="tx1"/>
            </w14:solidFill>
          </w14:textFill>
        </w:rPr>
        <w:t>：</w:t>
      </w:r>
      <w: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t>宠物用品</w:t>
      </w:r>
      <w:r>
        <w:rPr>
          <w:rFonts w:hint="eastAsia" w:ascii="楷体_GB2312" w:hAnsi="楷体_GB2312" w:eastAsia="楷体_GB2312" w:cs="楷体_GB2312"/>
          <w:color w:val="000000" w:themeColor="text1"/>
          <w:sz w:val="32"/>
          <w:szCs w:val="32"/>
          <w:highlight w:val="none"/>
          <w14:textFill>
            <w14:solidFill>
              <w14:schemeClr w14:val="tx1"/>
            </w14:solidFill>
          </w14:textFill>
        </w:rPr>
        <w:t>类产品设计</w:t>
      </w:r>
    </w:p>
    <w:p w14:paraId="74F3C10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sz w:val="32"/>
          <w:szCs w:val="32"/>
          <w:highlight w:val="none"/>
        </w:rPr>
      </w:pPr>
      <w:r>
        <w:rPr>
          <w:rFonts w:hint="eastAsia" w:ascii="仿宋_GB2312" w:hAnsi="仿宋_GB2312" w:eastAsia="仿宋_GB2312"/>
          <w:sz w:val="32"/>
          <w:szCs w:val="32"/>
          <w:highlight w:val="none"/>
        </w:rPr>
        <w:t>设计要求：以塑料注塑成型为主体工艺（成本可控、批量生产、设计自由），通过智能化技术实现</w:t>
      </w:r>
      <w:r>
        <w:rPr>
          <w:rFonts w:hint="eastAsia" w:ascii="仿宋_GB2312" w:hAnsi="仿宋_GB2312" w:eastAsia="仿宋_GB2312"/>
          <w:sz w:val="32"/>
          <w:szCs w:val="32"/>
          <w:highlight w:val="none"/>
          <w:lang w:val="en-US" w:eastAsia="zh-CN"/>
        </w:rPr>
        <w:t>对宠物</w:t>
      </w:r>
      <w:r>
        <w:rPr>
          <w:rFonts w:hint="eastAsia" w:ascii="仿宋_GB2312" w:hAnsi="仿宋_GB2312" w:eastAsia="仿宋_GB2312"/>
          <w:sz w:val="32"/>
          <w:szCs w:val="32"/>
          <w:highlight w:val="none"/>
        </w:rPr>
        <w:t>的数据化、健康</w:t>
      </w:r>
      <w:r>
        <w:rPr>
          <w:rFonts w:hint="eastAsia" w:ascii="仿宋_GB2312" w:hAnsi="仿宋_GB2312" w:eastAsia="仿宋_GB2312"/>
          <w:sz w:val="32"/>
          <w:szCs w:val="32"/>
          <w:highlight w:val="none"/>
          <w:lang w:val="en-US" w:eastAsia="zh-CN"/>
        </w:rPr>
        <w:t>化</w:t>
      </w:r>
      <w:r>
        <w:rPr>
          <w:rFonts w:hint="eastAsia" w:ascii="仿宋_GB2312" w:hAnsi="仿宋_GB2312" w:eastAsia="仿宋_GB2312"/>
          <w:sz w:val="32"/>
          <w:szCs w:val="32"/>
          <w:highlight w:val="none"/>
        </w:rPr>
        <w:t>管理。满足</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一体多用”的核心要求</w:t>
      </w:r>
      <w:r>
        <w:rPr>
          <w:rFonts w:hint="eastAsia" w:ascii="仿宋_GB2312" w:hAnsi="仿宋_GB2312" w:eastAsia="仿宋_GB2312"/>
          <w:sz w:val="32"/>
          <w:szCs w:val="32"/>
          <w:highlight w:val="none"/>
          <w:lang w:val="en-US" w:eastAsia="zh-CN"/>
        </w:rPr>
        <w:t>——</w:t>
      </w:r>
      <w:r>
        <w:rPr>
          <w:rFonts w:hint="eastAsia" w:ascii="仿宋_GB2312" w:hAnsi="仿宋_GB2312" w:eastAsia="仿宋_GB2312"/>
          <w:sz w:val="32"/>
          <w:szCs w:val="32"/>
          <w:highlight w:val="none"/>
        </w:rPr>
        <w:t>单一产品解决多个痛点，而非多个产品的简单堆砌。</w:t>
      </w:r>
      <w:r>
        <w:rPr>
          <w:rFonts w:hint="eastAsia" w:ascii="仿宋_GB2312" w:hAnsi="仿宋_GB2312" w:eastAsia="仿宋_GB2312"/>
          <w:sz w:val="32"/>
          <w:szCs w:val="32"/>
          <w:highlight w:val="none"/>
          <w:lang w:val="en-US" w:eastAsia="zh-CN"/>
        </w:rPr>
        <w:t>满足</w:t>
      </w:r>
      <w:r>
        <w:rPr>
          <w:rFonts w:hint="eastAsia" w:ascii="仿宋_GB2312" w:hAnsi="仿宋_GB2312" w:eastAsia="仿宋_GB2312"/>
          <w:sz w:val="32"/>
          <w:szCs w:val="32"/>
          <w:highlight w:val="none"/>
        </w:rPr>
        <w:t>家庭与公共场所</w:t>
      </w:r>
      <w:r>
        <w:rPr>
          <w:rFonts w:hint="eastAsia" w:ascii="仿宋_GB2312" w:hAnsi="仿宋_GB2312" w:eastAsia="仿宋_GB2312"/>
          <w:sz w:val="32"/>
          <w:szCs w:val="32"/>
          <w:highlight w:val="none"/>
          <w:lang w:val="en-US" w:eastAsia="zh-CN"/>
        </w:rPr>
        <w:t>等多</w:t>
      </w:r>
      <w:r>
        <w:rPr>
          <w:rFonts w:hint="eastAsia" w:ascii="仿宋_GB2312" w:hAnsi="仿宋_GB2312" w:eastAsia="仿宋_GB2312"/>
          <w:sz w:val="32"/>
          <w:szCs w:val="32"/>
          <w:highlight w:val="none"/>
        </w:rPr>
        <w:t>场景适配</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lang w:val="en-US" w:eastAsia="zh-CN"/>
        </w:rPr>
        <w:t>要求</w:t>
      </w:r>
      <w:r>
        <w:rPr>
          <w:rFonts w:hint="eastAsia" w:ascii="仿宋_GB2312" w:hAnsi="仿宋_GB2312" w:eastAsia="仿宋_GB2312"/>
          <w:sz w:val="32"/>
          <w:szCs w:val="32"/>
          <w:highlight w:val="none"/>
        </w:rPr>
        <w:t>轻量化设计</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lang w:val="en-US" w:eastAsia="zh-CN"/>
        </w:rPr>
        <w:t>优化</w:t>
      </w:r>
      <w:r>
        <w:rPr>
          <w:rFonts w:hint="eastAsia" w:ascii="仿宋_GB2312" w:hAnsi="仿宋_GB2312" w:eastAsia="仿宋_GB2312"/>
          <w:sz w:val="32"/>
          <w:szCs w:val="32"/>
          <w:highlight w:val="none"/>
        </w:rPr>
        <w:t>内部结构，围绕快拆快装结构</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兼顾宠物安全</w:t>
      </w:r>
      <w:r>
        <w:rPr>
          <w:rFonts w:hint="eastAsia" w:ascii="仿宋_GB2312" w:hAnsi="仿宋_GB2312" w:eastAsia="仿宋_GB2312"/>
          <w:sz w:val="32"/>
          <w:szCs w:val="32"/>
          <w:highlight w:val="none"/>
          <w:lang w:eastAsia="zh-CN"/>
        </w:rPr>
        <w:t>，</w:t>
      </w:r>
      <w:r>
        <w:rPr>
          <w:rFonts w:hint="eastAsia" w:ascii="仿宋_GB2312" w:hAnsi="仿宋_GB2312" w:eastAsia="仿宋_GB2312"/>
          <w:sz w:val="32"/>
          <w:szCs w:val="32"/>
          <w:highlight w:val="none"/>
        </w:rPr>
        <w:t>便于携带</w:t>
      </w:r>
      <w:r>
        <w:rPr>
          <w:rFonts w:hint="eastAsia" w:ascii="仿宋_GB2312" w:hAnsi="仿宋_GB2312" w:eastAsia="仿宋_GB2312"/>
          <w:sz w:val="32"/>
          <w:szCs w:val="32"/>
          <w:highlight w:val="none"/>
          <w:lang w:eastAsia="zh-CN"/>
        </w:rPr>
        <w:t>。</w:t>
      </w:r>
    </w:p>
    <w:p w14:paraId="266DDE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lang w:val="en-US" w:eastAsia="zh-CN"/>
          <w14:textFill>
            <w14:solidFill>
              <w14:schemeClr w14:val="tx1"/>
            </w14:solidFill>
          </w14:textFill>
        </w:rPr>
        <w:t>2</w:t>
      </w:r>
      <w:r>
        <w:rPr>
          <w:rFonts w:hint="eastAsia" w:ascii="楷体_GB2312" w:hAnsi="楷体_GB2312" w:eastAsia="楷体_GB2312" w:cs="楷体_GB2312"/>
          <w:color w:val="000000" w:themeColor="text1"/>
          <w:sz w:val="32"/>
          <w:szCs w:val="32"/>
          <w:highlight w:val="none"/>
          <w14:textFill>
            <w14:solidFill>
              <w14:schemeClr w14:val="tx1"/>
            </w14:solidFill>
          </w14:textFill>
        </w:rPr>
        <w:t>：收纳类产品设计</w:t>
      </w:r>
    </w:p>
    <w:p w14:paraId="05AD51A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Times New Roman"/>
          <w:kern w:val="2"/>
          <w:sz w:val="32"/>
          <w:szCs w:val="32"/>
          <w:highlight w:val="none"/>
          <w:lang w:val="en-US" w:eastAsia="zh-CN" w:bidi="ar-SA"/>
        </w:rPr>
      </w:pPr>
      <w:r>
        <w:rPr>
          <w:rFonts w:hint="eastAsia" w:ascii="仿宋_GB2312" w:hAnsi="仿宋_GB2312" w:eastAsia="仿宋_GB2312" w:cs="Times New Roman"/>
          <w:kern w:val="2"/>
          <w:sz w:val="32"/>
          <w:szCs w:val="32"/>
          <w:highlight w:val="none"/>
          <w:lang w:val="en-US" w:eastAsia="zh-CN" w:bidi="ar-SA"/>
        </w:rPr>
        <w:t>设计要求：设计一款便捷交互设计，简化物品管理，契合青年群体高效生活方式的塑料收纳用品，要求内部精细分区，适应多场景，满足有限空间内的多元需求，适合夹缝使用，提高空间利用率。适配注塑工艺，确保高精度与质感，造型简洁现代，轮廓清晰，细节精致，符合大众审美。</w:t>
      </w:r>
    </w:p>
    <w:p w14:paraId="207B96C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四、</w:t>
      </w:r>
      <w:r>
        <w:rPr>
          <w:rFonts w:ascii="黑体" w:hAnsi="黑体" w:eastAsia="黑体"/>
          <w:sz w:val="32"/>
          <w:szCs w:val="32"/>
          <w:highlight w:val="none"/>
        </w:rPr>
        <w:t>参赛对象</w:t>
      </w:r>
    </w:p>
    <w:p w14:paraId="1811CD7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sz w:val="32"/>
          <w:szCs w:val="32"/>
          <w:highlight w:val="none"/>
        </w:rPr>
      </w:pPr>
      <w:r>
        <w:rPr>
          <w:rFonts w:ascii="仿宋_GB2312" w:hAnsi="仿宋_GB2312" w:eastAsia="仿宋_GB2312"/>
          <w:sz w:val="32"/>
          <w:szCs w:val="32"/>
          <w:highlight w:val="none"/>
        </w:rPr>
        <w:t>浙江省普通高校全日制在校大学生，以团队的方式，通过学校推荐报名参赛。每个参赛队学生人数与指导教师人数均不超过3人。</w:t>
      </w:r>
      <w:r>
        <w:rPr>
          <w:rFonts w:hint="eastAsia" w:ascii="仿宋_GB2312" w:hAnsi="仿宋_GB2312" w:eastAsia="仿宋_GB2312" w:cs="Times New Roman"/>
          <w:sz w:val="32"/>
          <w:szCs w:val="32"/>
          <w:highlight w:val="none"/>
        </w:rPr>
        <w:t>竞赛允许研究生与本专科生混合组队，排名不限，研究生不得单独组队</w:t>
      </w:r>
      <w:r>
        <w:rPr>
          <w:rFonts w:ascii="仿宋_GB2312" w:hAnsi="仿宋_GB2312" w:eastAsia="仿宋_GB2312"/>
          <w:sz w:val="32"/>
          <w:szCs w:val="32"/>
          <w:highlight w:val="none"/>
        </w:rPr>
        <w:t>。</w:t>
      </w:r>
    </w:p>
    <w:p w14:paraId="44B3F5F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五、赛程安排</w:t>
      </w:r>
    </w:p>
    <w:p w14:paraId="7B0CFA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1.初赛阶段（</w:t>
      </w:r>
      <w:r>
        <w:rPr>
          <w:rFonts w:hint="default" w:ascii="Times New Roman Regular" w:hAnsi="Times New Roman Regular" w:eastAsia="仿宋_GB2312" w:cs="Times New Roman Regular"/>
          <w:sz w:val="32"/>
          <w:szCs w:val="32"/>
          <w:highlight w:val="none"/>
          <w:lang w:val="en-US" w:eastAsia="zh-CN"/>
        </w:rPr>
        <w:t>5～7</w:t>
      </w:r>
      <w:r>
        <w:rPr>
          <w:rFonts w:hint="default" w:ascii="Times New Roman Regular" w:hAnsi="Times New Roman Regular" w:eastAsia="仿宋_GB2312" w:cs="Times New Roman Regular"/>
          <w:sz w:val="32"/>
          <w:szCs w:val="32"/>
          <w:highlight w:val="none"/>
        </w:rPr>
        <w:t xml:space="preserve">月）：各校参赛队以小组方式设计参赛作品，并由各学校经初评后提交至竞赛网络平台。根据各高校报送作品，组织邀请专家进行初赛评审，确定并公布入围决赛作品。 </w:t>
      </w:r>
    </w:p>
    <w:p w14:paraId="39F61A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2.决赛阶段（</w:t>
      </w:r>
      <w:r>
        <w:rPr>
          <w:rFonts w:hint="default" w:ascii="Times New Roman Regular" w:hAnsi="Times New Roman Regular" w:eastAsia="仿宋_GB2312" w:cs="Times New Roman Regular"/>
          <w:sz w:val="32"/>
          <w:szCs w:val="32"/>
          <w:highlight w:val="none"/>
          <w:lang w:val="en-US" w:eastAsia="zh-CN"/>
        </w:rPr>
        <w:t>8～</w:t>
      </w:r>
      <w:r>
        <w:rPr>
          <w:rFonts w:hint="default" w:ascii="Times New Roman Regular" w:hAnsi="Times New Roman Regular" w:eastAsia="仿宋_GB2312" w:cs="Times New Roman Regular"/>
          <w:sz w:val="32"/>
          <w:szCs w:val="32"/>
          <w:highlight w:val="none"/>
        </w:rPr>
        <w:t>10月）：入围决赛作品需做进一步设计优化，制作较为详尽的产品结构图、尺寸图、产品展示动画以及实物模型。最终决赛以现场答辩的形式决出各奖项，参赛团队可以结合多种表现形式进行设计理念阐述，重点考察设计落地性与产业结合度。</w:t>
      </w:r>
    </w:p>
    <w:p w14:paraId="7331CE6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3.产业对接会（11月）：优秀作品在黄岩模塑产业园区展览，组织黄岩区相关企业参与展览，并促进企业与获奖团队洽谈成果转化合作。</w:t>
      </w:r>
    </w:p>
    <w:p w14:paraId="4E606F7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六、评审标准</w:t>
      </w:r>
    </w:p>
    <w:p w14:paraId="0105FEA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1.创新性</w:t>
      </w:r>
      <w:r>
        <w:rPr>
          <w:rFonts w:hint="default" w:ascii="Times New Roman Regular" w:hAnsi="Times New Roman Regular" w:eastAsia="仿宋_GB2312" w:cs="Times New Roman Regular"/>
          <w:sz w:val="32"/>
          <w:szCs w:val="32"/>
          <w:highlight w:val="none"/>
          <w:lang w:val="en-US" w:eastAsia="zh-CN"/>
        </w:rPr>
        <w:t>及功能实现</w:t>
      </w:r>
      <w:r>
        <w:rPr>
          <w:rFonts w:hint="default" w:ascii="Times New Roman Regular" w:hAnsi="Times New Roman Regular" w:eastAsia="仿宋_GB2312" w:cs="Times New Roman Regular"/>
          <w:sz w:val="32"/>
          <w:szCs w:val="32"/>
          <w:highlight w:val="none"/>
        </w:rPr>
        <w:t>（35%）：功能、结构、CMF设计的突破性</w:t>
      </w:r>
      <w:r>
        <w:rPr>
          <w:rFonts w:hint="default" w:ascii="Times New Roman Regular" w:hAnsi="Times New Roman Regular" w:eastAsia="仿宋_GB2312" w:cs="Times New Roman Regular"/>
          <w:sz w:val="32"/>
          <w:szCs w:val="32"/>
          <w:highlight w:val="none"/>
          <w:lang w:val="en-US" w:eastAsia="zh-CN"/>
        </w:rPr>
        <w:t>及功能的实现</w:t>
      </w:r>
      <w:r>
        <w:rPr>
          <w:rFonts w:hint="default" w:ascii="Times New Roman Regular" w:hAnsi="Times New Roman Regular" w:eastAsia="仿宋_GB2312" w:cs="Times New Roman Regular"/>
          <w:sz w:val="32"/>
          <w:szCs w:val="32"/>
          <w:highlight w:val="none"/>
        </w:rPr>
        <w:t>。</w:t>
      </w:r>
    </w:p>
    <w:p w14:paraId="7A9B8D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2.产业结合度（25%）：契合黄岩模塑生产工艺与材料特性，具备量产可行性。</w:t>
      </w:r>
    </w:p>
    <w:p w14:paraId="2322E6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3.市场价值（25%）：用户需求匹配度及商业潜力。</w:t>
      </w:r>
    </w:p>
    <w:p w14:paraId="7FB38F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4.设计表达（15%）：图纸、模型、答辩内容的清晰性与完整性。</w:t>
      </w:r>
    </w:p>
    <w:p w14:paraId="190A65A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七、奖项设置</w:t>
      </w:r>
    </w:p>
    <w:p w14:paraId="73FC2C0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本产业赛道</w:t>
      </w:r>
      <w:r>
        <w:rPr>
          <w:rFonts w:hint="eastAsia" w:ascii="Times New Roman Regular" w:hAnsi="Times New Roman Regular" w:eastAsia="仿宋_GB2312" w:cs="Times New Roman Regular"/>
          <w:sz w:val="32"/>
          <w:szCs w:val="32"/>
          <w:highlight w:val="none"/>
          <w:lang w:val="en-US" w:eastAsia="zh-CN"/>
        </w:rPr>
        <w:t>按照</w:t>
      </w:r>
      <w:r>
        <w:rPr>
          <w:rFonts w:hint="default" w:ascii="Times New Roman Regular" w:hAnsi="Times New Roman Regular" w:eastAsia="仿宋_GB2312" w:cs="Times New Roman Regular"/>
          <w:sz w:val="32"/>
          <w:szCs w:val="32"/>
          <w:highlight w:val="none"/>
          <w:lang w:val="en-US" w:eastAsia="zh-CN"/>
        </w:rPr>
        <w:t>一等奖16项，二等奖</w:t>
      </w:r>
      <w:r>
        <w:rPr>
          <w:rFonts w:hint="eastAsia" w:ascii="Times New Roman Regular" w:hAnsi="Times New Roman Regular" w:eastAsia="仿宋_GB2312" w:cs="Times New Roman Regular"/>
          <w:sz w:val="32"/>
          <w:szCs w:val="32"/>
          <w:highlight w:val="none"/>
          <w:lang w:val="en-US" w:eastAsia="zh-CN"/>
        </w:rPr>
        <w:t>32</w:t>
      </w:r>
      <w:r>
        <w:rPr>
          <w:rFonts w:hint="default" w:ascii="Times New Roman Regular" w:hAnsi="Times New Roman Regular" w:eastAsia="仿宋_GB2312" w:cs="Times New Roman Regular"/>
          <w:sz w:val="32"/>
          <w:szCs w:val="32"/>
          <w:highlight w:val="none"/>
          <w:lang w:val="en-US" w:eastAsia="zh-CN"/>
        </w:rPr>
        <w:t>项，三等奖80项</w:t>
      </w:r>
      <w:r>
        <w:rPr>
          <w:rFonts w:hint="eastAsia" w:ascii="Times New Roman Regular" w:hAnsi="Times New Roman Regular" w:eastAsia="仿宋_GB2312" w:cs="Times New Roman Regular"/>
          <w:sz w:val="32"/>
          <w:szCs w:val="32"/>
          <w:highlight w:val="none"/>
          <w:lang w:val="en-US" w:eastAsia="zh-CN"/>
        </w:rPr>
        <w:t>比例设立（</w:t>
      </w:r>
      <w:r>
        <w:rPr>
          <w:rFonts w:hint="default" w:ascii="Times New Roman Regular" w:hAnsi="Times New Roman Regular" w:eastAsia="仿宋_GB2312" w:cs="Times New Roman Regular"/>
          <w:sz w:val="32"/>
          <w:szCs w:val="32"/>
          <w:highlight w:val="none"/>
          <w:lang w:val="en-US" w:eastAsia="zh-CN"/>
        </w:rPr>
        <w:t>两个命题分别评奖，</w:t>
      </w:r>
      <w:r>
        <w:rPr>
          <w:rFonts w:hint="eastAsia" w:ascii="Times New Roman Regular" w:hAnsi="Times New Roman Regular" w:eastAsia="仿宋_GB2312" w:cs="Times New Roman Regular"/>
          <w:sz w:val="32"/>
          <w:szCs w:val="32"/>
          <w:highlight w:val="none"/>
          <w:lang w:val="en-US" w:eastAsia="zh-CN"/>
        </w:rPr>
        <w:t>分设</w:t>
      </w:r>
      <w:r>
        <w:rPr>
          <w:rFonts w:hint="default" w:ascii="Times New Roman Regular" w:hAnsi="Times New Roman Regular" w:eastAsia="仿宋_GB2312" w:cs="Times New Roman Regular"/>
          <w:sz w:val="32"/>
          <w:szCs w:val="32"/>
          <w:highlight w:val="none"/>
        </w:rPr>
        <w:t>一等奖</w:t>
      </w:r>
      <w:r>
        <w:rPr>
          <w:rFonts w:hint="eastAsia" w:ascii="Times New Roman Regular" w:hAnsi="Times New Roman Regular" w:eastAsia="仿宋_GB2312" w:cs="Times New Roman Regular"/>
          <w:sz w:val="32"/>
          <w:szCs w:val="32"/>
          <w:highlight w:val="none"/>
          <w:lang w:val="en-US" w:eastAsia="zh-CN"/>
        </w:rPr>
        <w:t>8</w:t>
      </w:r>
      <w:r>
        <w:rPr>
          <w:rFonts w:hint="default" w:ascii="Times New Roman Regular" w:hAnsi="Times New Roman Regular" w:eastAsia="仿宋_GB2312" w:cs="Times New Roman Regular"/>
          <w:sz w:val="32"/>
          <w:szCs w:val="32"/>
          <w:highlight w:val="none"/>
        </w:rPr>
        <w:t xml:space="preserve">项、二等奖 </w:t>
      </w:r>
      <w:r>
        <w:rPr>
          <w:rFonts w:hint="eastAsia" w:ascii="Times New Roman Regular" w:hAnsi="Times New Roman Regular" w:eastAsia="仿宋_GB2312" w:cs="Times New Roman Regular"/>
          <w:sz w:val="32"/>
          <w:szCs w:val="32"/>
          <w:highlight w:val="none"/>
          <w:lang w:val="en-US" w:eastAsia="zh-CN"/>
        </w:rPr>
        <w:t>16</w:t>
      </w:r>
      <w:r>
        <w:rPr>
          <w:rFonts w:hint="default" w:ascii="Times New Roman Regular" w:hAnsi="Times New Roman Regular" w:eastAsia="仿宋_GB2312" w:cs="Times New Roman Regular"/>
          <w:sz w:val="32"/>
          <w:szCs w:val="32"/>
          <w:highlight w:val="none"/>
        </w:rPr>
        <w:t>项、三等奖</w:t>
      </w:r>
      <w:r>
        <w:rPr>
          <w:rFonts w:hint="eastAsia" w:ascii="Times New Roman Regular" w:hAnsi="Times New Roman Regular" w:eastAsia="仿宋_GB2312" w:cs="Times New Roman Regular"/>
          <w:sz w:val="32"/>
          <w:szCs w:val="32"/>
          <w:highlight w:val="none"/>
          <w:lang w:val="en-US" w:eastAsia="zh-CN"/>
        </w:rPr>
        <w:t>40</w:t>
      </w:r>
      <w:r>
        <w:rPr>
          <w:rFonts w:hint="default" w:ascii="Times New Roman Regular" w:hAnsi="Times New Roman Regular" w:eastAsia="仿宋_GB2312" w:cs="Times New Roman Regular"/>
          <w:sz w:val="32"/>
          <w:szCs w:val="32"/>
          <w:highlight w:val="none"/>
        </w:rPr>
        <w:t>项</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若</w:t>
      </w:r>
      <w:r>
        <w:rPr>
          <w:rFonts w:hint="eastAsia" w:ascii="Times New Roman Regular" w:hAnsi="Times New Roman Regular" w:eastAsia="仿宋_GB2312" w:cs="Times New Roman Regular"/>
          <w:sz w:val="32"/>
          <w:szCs w:val="32"/>
          <w:highlight w:val="none"/>
          <w:lang w:val="en-US" w:eastAsia="zh-CN"/>
        </w:rPr>
        <w:t>某</w:t>
      </w:r>
      <w:r>
        <w:rPr>
          <w:rFonts w:hint="default" w:ascii="Times New Roman Regular" w:hAnsi="Times New Roman Regular" w:eastAsia="仿宋_GB2312" w:cs="Times New Roman Regular"/>
          <w:sz w:val="32"/>
          <w:szCs w:val="32"/>
          <w:highlight w:val="none"/>
          <w:lang w:val="en-US" w:eastAsia="zh-CN"/>
        </w:rPr>
        <w:t>命题</w:t>
      </w:r>
      <w:r>
        <w:rPr>
          <w:rFonts w:hint="eastAsia" w:ascii="Times New Roman Regular" w:hAnsi="Times New Roman Regular" w:eastAsia="仿宋_GB2312" w:cs="Times New Roman Regular"/>
          <w:sz w:val="32"/>
          <w:szCs w:val="32"/>
          <w:highlight w:val="none"/>
          <w:lang w:val="en-US" w:eastAsia="zh-CN"/>
        </w:rPr>
        <w:t>作品</w:t>
      </w:r>
      <w:r>
        <w:rPr>
          <w:rFonts w:hint="default" w:ascii="Times New Roman Regular" w:hAnsi="Times New Roman Regular" w:eastAsia="仿宋_GB2312" w:cs="Times New Roman Regular"/>
          <w:sz w:val="32"/>
          <w:szCs w:val="32"/>
          <w:highlight w:val="none"/>
          <w:lang w:val="en-US" w:eastAsia="zh-CN"/>
        </w:rPr>
        <w:t>不足</w:t>
      </w:r>
      <w:r>
        <w:rPr>
          <w:rFonts w:hint="eastAsia" w:ascii="Times New Roman Regular" w:hAnsi="Times New Roman Regular" w:eastAsia="仿宋_GB2312" w:cs="Times New Roman Regular"/>
          <w:sz w:val="32"/>
          <w:szCs w:val="32"/>
          <w:highlight w:val="none"/>
          <w:lang w:val="en-US" w:eastAsia="zh-CN"/>
        </w:rPr>
        <w:t>200</w:t>
      </w:r>
      <w:r>
        <w:rPr>
          <w:rFonts w:hint="default" w:ascii="Times New Roman Regular" w:hAnsi="Times New Roman Regular" w:eastAsia="仿宋_GB2312" w:cs="Times New Roman Regular"/>
          <w:sz w:val="32"/>
          <w:szCs w:val="32"/>
          <w:highlight w:val="none"/>
        </w:rPr>
        <w:t>件，则按照</w:t>
      </w:r>
      <w:r>
        <w:rPr>
          <w:rFonts w:hint="default" w:ascii="Times New Roman Regular" w:hAnsi="Times New Roman Regular" w:eastAsia="仿宋_GB2312" w:cs="Times New Roman Regular"/>
          <w:sz w:val="32"/>
          <w:szCs w:val="32"/>
          <w:highlight w:val="none"/>
          <w:lang w:val="en-US" w:eastAsia="zh-CN"/>
        </w:rPr>
        <w:t>4</w:t>
      </w:r>
      <w:r>
        <w:rPr>
          <w:rFonts w:hint="default" w:ascii="Times New Roman Regular" w:hAnsi="Times New Roman Regular" w:eastAsia="仿宋_GB2312" w:cs="Times New Roman Regular"/>
          <w:sz w:val="32"/>
          <w:szCs w:val="32"/>
          <w:highlight w:val="none"/>
        </w:rPr>
        <w:t>%、</w:t>
      </w:r>
      <w:r>
        <w:rPr>
          <w:rFonts w:hint="default" w:ascii="Times New Roman Regular" w:hAnsi="Times New Roman Regular" w:eastAsia="仿宋_GB2312" w:cs="Times New Roman Regular"/>
          <w:sz w:val="32"/>
          <w:szCs w:val="32"/>
          <w:highlight w:val="none"/>
          <w:lang w:val="en-US" w:eastAsia="zh-CN"/>
        </w:rPr>
        <w:t>8</w:t>
      </w:r>
      <w:r>
        <w:rPr>
          <w:rFonts w:hint="default" w:ascii="Times New Roman Regular" w:hAnsi="Times New Roman Regular" w:eastAsia="仿宋_GB2312" w:cs="Times New Roman Regular"/>
          <w:sz w:val="32"/>
          <w:szCs w:val="32"/>
          <w:highlight w:val="none"/>
        </w:rPr>
        <w:t>%、</w:t>
      </w:r>
      <w:r>
        <w:rPr>
          <w:rFonts w:hint="default" w:ascii="Times New Roman Regular" w:hAnsi="Times New Roman Regular" w:eastAsia="仿宋_GB2312" w:cs="Times New Roman Regular"/>
          <w:sz w:val="32"/>
          <w:szCs w:val="32"/>
          <w:highlight w:val="none"/>
          <w:lang w:val="en-US" w:eastAsia="zh-CN"/>
        </w:rPr>
        <w:t>16</w:t>
      </w:r>
      <w:r>
        <w:rPr>
          <w:rFonts w:hint="default" w:ascii="Times New Roman Regular" w:hAnsi="Times New Roman Regular" w:eastAsia="仿宋_GB2312" w:cs="Times New Roman Regular"/>
          <w:sz w:val="32"/>
          <w:szCs w:val="32"/>
          <w:highlight w:val="none"/>
        </w:rPr>
        <w:t>%的比例确定各奖项）。其中，获得一等奖作品将由台州市品唤塑业有限公司、浙江中模数据科技有限公司</w:t>
      </w:r>
      <w:r>
        <w:rPr>
          <w:rFonts w:hint="default" w:ascii="Times New Roman Regular" w:hAnsi="Times New Roman Regular" w:eastAsia="仿宋_GB2312" w:cs="Times New Roman Regular"/>
          <w:sz w:val="32"/>
          <w:szCs w:val="32"/>
          <w:highlight w:val="none"/>
          <w:lang w:val="en-US" w:eastAsia="zh-CN"/>
        </w:rPr>
        <w:t>等</w:t>
      </w:r>
      <w:r>
        <w:rPr>
          <w:rFonts w:hint="default" w:ascii="Times New Roman Regular" w:hAnsi="Times New Roman Regular" w:eastAsia="仿宋_GB2312" w:cs="Times New Roman Regular"/>
          <w:sz w:val="32"/>
          <w:szCs w:val="32"/>
          <w:highlight w:val="none"/>
        </w:rPr>
        <w:t>给予</w:t>
      </w:r>
      <w:r>
        <w:rPr>
          <w:rFonts w:hint="eastAsia" w:ascii="仿宋_GB2312" w:hAnsi="仿宋_GB2312" w:eastAsia="仿宋_GB2312" w:cs="仿宋_GB2312"/>
          <w:sz w:val="32"/>
          <w:szCs w:val="32"/>
          <w:highlight w:val="none"/>
        </w:rPr>
        <w:t>“智能模具小镇模塑产品设计孵化基金”</w:t>
      </w:r>
      <w:r>
        <w:rPr>
          <w:rFonts w:hint="default" w:ascii="Times New Roman Regular" w:hAnsi="Times New Roman Regular" w:eastAsia="仿宋_GB2312" w:cs="Times New Roman Regular"/>
          <w:sz w:val="32"/>
          <w:szCs w:val="32"/>
          <w:highlight w:val="none"/>
        </w:rPr>
        <w:t>奖励</w:t>
      </w:r>
      <w:r>
        <w:rPr>
          <w:rFonts w:hint="eastAsia" w:ascii="Times New Roman Regular" w:hAnsi="Times New Roman Regular" w:eastAsia="仿宋_GB2312" w:cs="Times New Roman Regular"/>
          <w:sz w:val="32"/>
          <w:szCs w:val="32"/>
          <w:highlight w:val="none"/>
          <w:lang w:eastAsia="zh-CN"/>
        </w:rPr>
        <w:t>（</w:t>
      </w:r>
      <w:r>
        <w:rPr>
          <w:rFonts w:eastAsia="仿宋_GB2312"/>
          <w:sz w:val="32"/>
          <w:szCs w:val="32"/>
          <w:highlight w:val="none"/>
        </w:rPr>
        <w:t>奖金发放说明：</w:t>
      </w:r>
      <w:r>
        <w:rPr>
          <w:rFonts w:hint="eastAsia" w:eastAsia="仿宋_GB2312"/>
          <w:sz w:val="32"/>
          <w:szCs w:val="32"/>
          <w:highlight w:val="none"/>
        </w:rPr>
        <w:t>奖金将发放给作品报名表中署名排序第一的作者，具体分配由团队内部协商</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，具体如下：</w:t>
      </w:r>
    </w:p>
    <w:tbl>
      <w:tblPr>
        <w:tblStyle w:val="1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93"/>
        <w:gridCol w:w="1229"/>
        <w:gridCol w:w="1613"/>
        <w:gridCol w:w="3869"/>
      </w:tblGrid>
      <w:tr w14:paraId="2F1A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9" w:hRule="atLeast"/>
          <w:tblHeader/>
          <w:jc w:val="center"/>
        </w:trPr>
        <w:tc>
          <w:tcPr>
            <w:tcW w:w="1793" w:type="dxa"/>
            <w:shd w:val="clear" w:color="auto" w:fill="auto"/>
            <w:tcMar>
              <w:left w:w="0" w:type="dxa"/>
            </w:tcMar>
            <w:vAlign w:val="center"/>
          </w:tcPr>
          <w:p w14:paraId="4A4BF9B5">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b/>
                <w:bCs/>
                <w:sz w:val="24"/>
                <w:highlight w:val="none"/>
              </w:rPr>
            </w:pPr>
            <w:r>
              <w:rPr>
                <w:rFonts w:ascii="仿宋_GB2312" w:hAnsi="仿宋_GB2312" w:eastAsia="仿宋_GB2312"/>
                <w:b/>
                <w:bCs/>
                <w:sz w:val="24"/>
                <w:highlight w:val="none"/>
              </w:rPr>
              <w:t>奖项</w:t>
            </w:r>
          </w:p>
        </w:tc>
        <w:tc>
          <w:tcPr>
            <w:tcW w:w="1229" w:type="dxa"/>
            <w:shd w:val="clear" w:color="auto" w:fill="auto"/>
            <w:vAlign w:val="center"/>
          </w:tcPr>
          <w:p w14:paraId="58625351">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b/>
                <w:bCs/>
                <w:sz w:val="24"/>
                <w:highlight w:val="none"/>
              </w:rPr>
            </w:pPr>
            <w:r>
              <w:rPr>
                <w:rFonts w:ascii="仿宋_GB2312" w:hAnsi="仿宋_GB2312" w:eastAsia="仿宋_GB2312"/>
                <w:b/>
                <w:bCs/>
                <w:sz w:val="24"/>
                <w:highlight w:val="none"/>
              </w:rPr>
              <w:t>数量</w:t>
            </w:r>
          </w:p>
        </w:tc>
        <w:tc>
          <w:tcPr>
            <w:tcW w:w="1613" w:type="dxa"/>
            <w:shd w:val="clear" w:color="auto" w:fill="auto"/>
            <w:vAlign w:val="center"/>
          </w:tcPr>
          <w:p w14:paraId="6B5321DE">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b/>
                <w:bCs/>
                <w:sz w:val="24"/>
                <w:highlight w:val="none"/>
              </w:rPr>
            </w:pPr>
            <w:r>
              <w:rPr>
                <w:rFonts w:ascii="仿宋_GB2312" w:hAnsi="仿宋_GB2312" w:eastAsia="仿宋_GB2312"/>
                <w:b/>
                <w:bCs/>
                <w:sz w:val="24"/>
                <w:highlight w:val="none"/>
              </w:rPr>
              <w:t>奖金（税前）</w:t>
            </w:r>
          </w:p>
        </w:tc>
        <w:tc>
          <w:tcPr>
            <w:tcW w:w="3869" w:type="dxa"/>
            <w:shd w:val="clear" w:color="auto" w:fill="auto"/>
            <w:vAlign w:val="center"/>
          </w:tcPr>
          <w:p w14:paraId="5BF152F0">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b/>
                <w:bCs/>
                <w:sz w:val="24"/>
                <w:highlight w:val="none"/>
              </w:rPr>
            </w:pPr>
            <w:r>
              <w:rPr>
                <w:rFonts w:ascii="仿宋_GB2312" w:hAnsi="仿宋_GB2312" w:eastAsia="仿宋_GB2312"/>
                <w:b/>
                <w:bCs/>
                <w:sz w:val="24"/>
                <w:highlight w:val="none"/>
              </w:rPr>
              <w:t>附加权益</w:t>
            </w:r>
          </w:p>
        </w:tc>
      </w:tr>
      <w:tr w14:paraId="04EF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93" w:type="dxa"/>
            <w:shd w:val="clear" w:color="auto" w:fill="auto"/>
            <w:tcMar>
              <w:left w:w="0" w:type="dxa"/>
            </w:tcMar>
            <w:vAlign w:val="center"/>
          </w:tcPr>
          <w:p w14:paraId="2430119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一等奖</w:t>
            </w:r>
          </w:p>
          <w:p w14:paraId="4C899C38">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（最佳产业奖）</w:t>
            </w:r>
          </w:p>
        </w:tc>
        <w:tc>
          <w:tcPr>
            <w:tcW w:w="1229" w:type="dxa"/>
            <w:shd w:val="clear" w:color="auto" w:fill="auto"/>
            <w:vAlign w:val="center"/>
          </w:tcPr>
          <w:p w14:paraId="4B7F683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lang w:val="en-US" w:eastAsia="zh-CN"/>
              </w:rPr>
            </w:pPr>
            <w:r>
              <w:rPr>
                <w:rFonts w:hint="default" w:ascii="Times New Roman Regular" w:hAnsi="Times New Roman Regular" w:eastAsia="仿宋_GB2312" w:cs="Times New Roman Regular"/>
                <w:sz w:val="24"/>
                <w:highlight w:val="none"/>
                <w:lang w:val="en-US" w:eastAsia="zh-CN"/>
              </w:rPr>
              <w:t>4+4</w:t>
            </w:r>
          </w:p>
        </w:tc>
        <w:tc>
          <w:tcPr>
            <w:tcW w:w="1613" w:type="dxa"/>
            <w:shd w:val="clear" w:color="auto" w:fill="auto"/>
            <w:vAlign w:val="center"/>
          </w:tcPr>
          <w:p w14:paraId="7DEB851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5000元</w:t>
            </w:r>
          </w:p>
        </w:tc>
        <w:tc>
          <w:tcPr>
            <w:tcW w:w="3869" w:type="dxa"/>
            <w:shd w:val="clear" w:color="auto" w:fill="auto"/>
            <w:vAlign w:val="center"/>
          </w:tcPr>
          <w:p w14:paraId="0B61A709">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bookmarkStart w:id="2" w:name="OLE_LINK9"/>
            <w:r>
              <w:rPr>
                <w:rFonts w:hint="default" w:ascii="Times New Roman Regular" w:hAnsi="Times New Roman Regular" w:eastAsia="仿宋_GB2312" w:cs="Times New Roman Regular"/>
                <w:sz w:val="24"/>
                <w:highlight w:val="none"/>
              </w:rPr>
              <w:t>企业合作量产机会</w:t>
            </w:r>
            <w:bookmarkEnd w:id="2"/>
            <w:bookmarkStart w:id="3" w:name="OLE_LINK4"/>
            <w:r>
              <w:rPr>
                <w:rFonts w:hint="default" w:ascii="Times New Roman Regular" w:hAnsi="Times New Roman Regular" w:eastAsia="仿宋_GB2312" w:cs="Times New Roman Regular"/>
                <w:sz w:val="24"/>
                <w:highlight w:val="none"/>
              </w:rPr>
              <w:t>+专利申报支持</w:t>
            </w:r>
            <w:bookmarkEnd w:id="3"/>
            <w:r>
              <w:rPr>
                <w:rFonts w:hint="default" w:ascii="Times New Roman Regular" w:hAnsi="Times New Roman Regular" w:eastAsia="仿宋_GB2312" w:cs="Times New Roman Regular"/>
                <w:sz w:val="24"/>
                <w:highlight w:val="none"/>
              </w:rPr>
              <w:t>+模塑企业实习名额</w:t>
            </w:r>
          </w:p>
        </w:tc>
      </w:tr>
      <w:tr w14:paraId="676D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93" w:type="dxa"/>
            <w:shd w:val="clear" w:color="auto" w:fill="auto"/>
            <w:tcMar>
              <w:left w:w="0" w:type="dxa"/>
            </w:tcMar>
            <w:vAlign w:val="center"/>
          </w:tcPr>
          <w:p w14:paraId="7F5C1127">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一等奖</w:t>
            </w:r>
          </w:p>
          <w:p w14:paraId="01134F3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（创新设计奖）</w:t>
            </w:r>
          </w:p>
        </w:tc>
        <w:tc>
          <w:tcPr>
            <w:tcW w:w="1229" w:type="dxa"/>
            <w:shd w:val="clear" w:color="auto" w:fill="auto"/>
            <w:vAlign w:val="center"/>
          </w:tcPr>
          <w:p w14:paraId="2B664A9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lang w:val="en-US" w:eastAsia="zh-CN"/>
              </w:rPr>
            </w:pPr>
            <w:r>
              <w:rPr>
                <w:rFonts w:hint="default" w:ascii="Times New Roman Regular" w:hAnsi="Times New Roman Regular" w:eastAsia="仿宋_GB2312" w:cs="Times New Roman Regular"/>
                <w:sz w:val="24"/>
                <w:highlight w:val="none"/>
                <w:lang w:val="en-US" w:eastAsia="zh-CN"/>
              </w:rPr>
              <w:t>4+4</w:t>
            </w:r>
          </w:p>
        </w:tc>
        <w:tc>
          <w:tcPr>
            <w:tcW w:w="1613" w:type="dxa"/>
            <w:shd w:val="clear" w:color="auto" w:fill="auto"/>
            <w:vAlign w:val="center"/>
          </w:tcPr>
          <w:p w14:paraId="47CB5A1F">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5000元</w:t>
            </w:r>
          </w:p>
        </w:tc>
        <w:tc>
          <w:tcPr>
            <w:tcW w:w="3869" w:type="dxa"/>
            <w:shd w:val="clear" w:color="auto" w:fill="auto"/>
            <w:vAlign w:val="center"/>
          </w:tcPr>
          <w:p w14:paraId="7840DE5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企业合作量产机会+专利申报支持+模塑企业实习名额</w:t>
            </w:r>
          </w:p>
        </w:tc>
      </w:tr>
      <w:tr w14:paraId="70EC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93" w:type="dxa"/>
            <w:shd w:val="clear" w:color="auto" w:fill="auto"/>
            <w:tcMar>
              <w:left w:w="0" w:type="dxa"/>
            </w:tcMar>
            <w:vAlign w:val="center"/>
          </w:tcPr>
          <w:p w14:paraId="1445091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二等奖</w:t>
            </w:r>
          </w:p>
        </w:tc>
        <w:tc>
          <w:tcPr>
            <w:tcW w:w="1229" w:type="dxa"/>
            <w:shd w:val="clear" w:color="auto" w:fill="auto"/>
            <w:vAlign w:val="center"/>
          </w:tcPr>
          <w:p w14:paraId="14326A8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lang w:val="en-US" w:eastAsia="zh-CN"/>
              </w:rPr>
            </w:pPr>
            <w:r>
              <w:rPr>
                <w:rFonts w:hint="default" w:ascii="Times New Roman Regular" w:hAnsi="Times New Roman Regular" w:eastAsia="仿宋_GB2312" w:cs="Times New Roman Regular"/>
                <w:sz w:val="24"/>
                <w:highlight w:val="none"/>
                <w:lang w:val="en-US" w:eastAsia="zh-CN"/>
              </w:rPr>
              <w:t>16+16</w:t>
            </w:r>
          </w:p>
        </w:tc>
        <w:tc>
          <w:tcPr>
            <w:tcW w:w="1613" w:type="dxa"/>
            <w:shd w:val="clear" w:color="auto" w:fill="auto"/>
            <w:vAlign w:val="center"/>
          </w:tcPr>
          <w:p w14:paraId="6A32197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1000元</w:t>
            </w:r>
          </w:p>
        </w:tc>
        <w:tc>
          <w:tcPr>
            <w:tcW w:w="3869" w:type="dxa"/>
            <w:shd w:val="clear" w:color="auto" w:fill="auto"/>
            <w:vAlign w:val="center"/>
          </w:tcPr>
          <w:p w14:paraId="3A68A27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Regular" w:hAnsi="Times New Roman Regular" w:eastAsia="仿宋_GB2312" w:cs="Times New Roman Regular"/>
                <w:sz w:val="24"/>
                <w:highlight w:val="none"/>
              </w:rPr>
            </w:pPr>
            <w:r>
              <w:rPr>
                <w:rFonts w:hint="default" w:ascii="Times New Roman Regular" w:hAnsi="Times New Roman Regular" w:eastAsia="仿宋_GB2312" w:cs="Times New Roman Regular"/>
                <w:sz w:val="24"/>
                <w:highlight w:val="none"/>
              </w:rPr>
              <w:t>作品产业园区展示+专利申报支持+模塑企业实习名额</w:t>
            </w:r>
          </w:p>
        </w:tc>
      </w:tr>
    </w:tbl>
    <w:p w14:paraId="51C18CE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eastAsia="仿宋_GB2312"/>
          <w:sz w:val="32"/>
          <w:szCs w:val="32"/>
          <w:highlight w:val="none"/>
          <w:lang w:val="en-US"/>
        </w:rPr>
      </w:pPr>
      <w:r>
        <w:rPr>
          <w:rFonts w:hint="eastAsia" w:ascii="仿宋_GB2312" w:hAnsi="仿宋_GB2312" w:eastAsia="仿宋_GB2312"/>
          <w:sz w:val="32"/>
          <w:szCs w:val="32"/>
          <w:highlight w:val="none"/>
          <w:lang w:val="en-US" w:eastAsia="zh-CN"/>
        </w:rPr>
        <w:t>本赛道同时设立“优秀组织奖”奖项，对在大赛组织和决赛中表现突出的单位给予表彰奖励；设立“优秀指导教师奖”，对在大赛中表现突出的指导教师表彰奖励。</w:t>
      </w:r>
    </w:p>
    <w:p w14:paraId="65193D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八、作品要求</w:t>
      </w:r>
    </w:p>
    <w:p w14:paraId="0FC81E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eastAsia" w:eastAsia="仿宋_GB2312" w:cs="Times New Roman"/>
          <w:sz w:val="32"/>
          <w:szCs w:val="32"/>
          <w:highlight w:val="none"/>
          <w:lang w:val="en-US" w:eastAsia="zh-CN"/>
        </w:rPr>
        <w:t>1.</w:t>
      </w:r>
      <w:r>
        <w:rPr>
          <w:rFonts w:hint="eastAsia" w:ascii="Times New Roman" w:hAnsi="Times New Roman" w:eastAsia="仿宋_GB2312" w:cs="Times New Roman"/>
          <w:sz w:val="32"/>
          <w:szCs w:val="32"/>
          <w:highlight w:val="none"/>
        </w:rPr>
        <w:t>初赛作品需提交A3横构图版面1张（尺寸为420mm×297mm，分辨率为144dpi，色彩模式为RGB模式，格式为jpg格式），版面内容包含主题、效果图、必要的结构图、基本外观尺寸图及说明文字等。</w:t>
      </w:r>
    </w:p>
    <w:p w14:paraId="443A037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2.入围决赛作品需制作样机</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模型</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、展示版面</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尺寸为800mm×1800mm，分辨率为144dpi，色彩模式为RGB模式，格式为jpg格式</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和答辩文件</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格式可以为PowerPoint、PDF或者Video(MP4)的形式</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等。</w:t>
      </w:r>
    </w:p>
    <w:p w14:paraId="6C74C8C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3.为保证本次竞赛评选的公正性，参赛作品、版面和电子演讲稿上不得出现作者所在单位、姓名</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包括英文或拼音缩写</w:t>
      </w:r>
      <w:r>
        <w:rPr>
          <w:rFonts w:hint="eastAsia" w:ascii="Times New Roman Regular" w:hAnsi="Times New Roman Regular" w:eastAsia="仿宋_GB2312" w:cs="Times New Roman Regular"/>
          <w:sz w:val="32"/>
          <w:szCs w:val="32"/>
          <w:highlight w:val="none"/>
          <w:lang w:eastAsia="zh-CN"/>
        </w:rPr>
        <w:t>）</w:t>
      </w:r>
      <w:r>
        <w:rPr>
          <w:rFonts w:hint="default" w:ascii="Times New Roman Regular" w:hAnsi="Times New Roman Regular" w:eastAsia="仿宋_GB2312" w:cs="Times New Roman Regular"/>
          <w:sz w:val="32"/>
          <w:szCs w:val="32"/>
          <w:highlight w:val="none"/>
        </w:rPr>
        <w:t>，或与作者身份有关的任何图标、图形等个人信息资料，违者将作无效作品处理。</w:t>
      </w:r>
    </w:p>
    <w:p w14:paraId="7E43780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九、作品版权说明</w:t>
      </w:r>
    </w:p>
    <w:p w14:paraId="686864E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rPr>
        <w:t>1.</w:t>
      </w:r>
      <w:r>
        <w:rPr>
          <w:rFonts w:hint="eastAsia" w:ascii="Times New Roman" w:hAnsi="Times New Roman" w:eastAsia="仿宋_GB2312" w:cs="Times New Roman"/>
          <w:sz w:val="32"/>
          <w:szCs w:val="32"/>
          <w:highlight w:val="none"/>
        </w:rPr>
        <w:t>参赛作品必须是参赛者原创作品，参赛者承诺对作品拥有充分、完全、自主知识产权，未侵犯任何他人的任何专利、著作权、商标权及其他知识产权。该作品未在报刊、杂志、网站及其他媒体公开发表，未申请专利或进行版权登记的作品，未参加过其他比赛，未以任何形式进入商业渠道。大赛不承担因作品侵犯他人（或单位）的权利而产生的法律责任，其法律责任由参赛者本人承担。</w:t>
      </w:r>
    </w:p>
    <w:p w14:paraId="6EEA6FC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lang w:eastAsia="zh-CN"/>
        </w:rPr>
        <w:t>2.</w:t>
      </w:r>
      <w:r>
        <w:rPr>
          <w:rFonts w:hint="eastAsia" w:eastAsia="仿宋_GB2312"/>
          <w:sz w:val="32"/>
          <w:szCs w:val="32"/>
          <w:highlight w:val="none"/>
        </w:rPr>
        <w:t>荣获“智能模具小镇模塑产品设计孵化基金”的作品版权归大赛组委会所有，作者享有署名权，大赛组委会独家拥有包括但不限于以下方式行使著作权</w:t>
      </w:r>
      <w:r>
        <w:rPr>
          <w:rFonts w:hint="eastAsia" w:eastAsia="仿宋_GB2312"/>
          <w:sz w:val="32"/>
          <w:szCs w:val="32"/>
          <w:highlight w:val="none"/>
          <w:lang w:eastAsia="zh-CN"/>
        </w:rPr>
        <w:t>：</w:t>
      </w:r>
      <w:r>
        <w:rPr>
          <w:rFonts w:hint="eastAsia" w:eastAsia="仿宋_GB2312"/>
          <w:sz w:val="32"/>
          <w:szCs w:val="32"/>
          <w:highlight w:val="none"/>
        </w:rPr>
        <w:t>享有对所属大赛作品方案进行再设计、生产、销售、展示、出版和宣传等权利。获奖参赛者保证参赛作品终身不以同一作品形式参加其他设计比赛或转让给他方。否则，大赛有权取消其获奖资格，收回孵化基金，并保留追究法律责任的权利。</w:t>
      </w:r>
    </w:p>
    <w:p w14:paraId="421A7F4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黑体" w:hAnsi="黑体" w:eastAsia="黑体"/>
          <w:sz w:val="32"/>
          <w:szCs w:val="32"/>
          <w:highlight w:val="none"/>
        </w:rPr>
      </w:pPr>
      <w:r>
        <w:rPr>
          <w:rFonts w:hint="eastAsia" w:ascii="黑体" w:hAnsi="黑体" w:eastAsia="黑体"/>
          <w:sz w:val="32"/>
          <w:szCs w:val="32"/>
          <w:highlight w:val="none"/>
        </w:rPr>
        <w:t>十、联系方式</w:t>
      </w:r>
    </w:p>
    <w:p w14:paraId="66FC8C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rPr>
        <w:t>联系地址：黄岩区智能模具小镇科创中心（318020）</w:t>
      </w:r>
    </w:p>
    <w:p w14:paraId="44516C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仿宋_GB2312"/>
          <w:sz w:val="32"/>
          <w:szCs w:val="32"/>
          <w:highlight w:val="none"/>
        </w:rPr>
      </w:pPr>
      <w:r>
        <w:rPr>
          <w:rFonts w:hint="eastAsia" w:eastAsia="仿宋_GB2312"/>
          <w:sz w:val="32"/>
          <w:szCs w:val="32"/>
          <w:highlight w:val="none"/>
        </w:rPr>
        <w:t>联系人：涂老师（</w:t>
      </w:r>
      <w:r>
        <w:rPr>
          <w:rFonts w:eastAsia="仿宋_GB2312"/>
          <w:sz w:val="32"/>
          <w:szCs w:val="32"/>
          <w:highlight w:val="none"/>
        </w:rPr>
        <w:t>13665777376</w:t>
      </w:r>
      <w:r>
        <w:rPr>
          <w:rFonts w:hint="eastAsia" w:eastAsia="仿宋_GB2312"/>
          <w:sz w:val="32"/>
          <w:szCs w:val="32"/>
          <w:highlight w:val="none"/>
        </w:rPr>
        <w:t>）</w:t>
      </w:r>
    </w:p>
    <w:p w14:paraId="0365859A">
      <w:pPr>
        <w:keepNext w:val="0"/>
        <w:keepLines w:val="0"/>
        <w:pageBreakBefore w:val="0"/>
        <w:kinsoku/>
        <w:wordWrap/>
        <w:overflowPunct/>
        <w:topLinePunct w:val="0"/>
        <w:autoSpaceDE/>
        <w:autoSpaceDN/>
        <w:bidi w:val="0"/>
        <w:spacing w:line="580" w:lineRule="exact"/>
        <w:jc w:val="center"/>
        <w:textAlignment w:val="auto"/>
        <w:rPr>
          <w:rFonts w:ascii="方正小标宋简体" w:hAnsi="方正小标宋简体" w:eastAsia="方正小标宋简体"/>
          <w:sz w:val="44"/>
          <w:szCs w:val="44"/>
          <w:highlight w:val="none"/>
        </w:rPr>
      </w:pPr>
      <w:r>
        <w:rPr>
          <w:rFonts w:hint="default" w:eastAsia="仿宋_GB2312"/>
          <w:sz w:val="32"/>
          <w:szCs w:val="32"/>
          <w:highlight w:val="none"/>
        </w:rPr>
        <w:br w:type="page"/>
      </w:r>
      <w:r>
        <w:rPr>
          <w:rFonts w:hint="eastAsia" w:ascii="方正小标宋简体" w:hAnsi="方正小标宋简体" w:eastAsia="方正小标宋简体"/>
          <w:sz w:val="44"/>
          <w:szCs w:val="44"/>
          <w:highlight w:val="none"/>
          <w:lang w:eastAsia="zh-CN"/>
        </w:rPr>
        <w:t>“</w:t>
      </w:r>
      <w:r>
        <w:rPr>
          <w:rFonts w:hint="eastAsia" w:ascii="方正小标宋简体" w:hAnsi="方正小标宋简体" w:eastAsia="方正小标宋简体"/>
          <w:sz w:val="44"/>
          <w:szCs w:val="44"/>
          <w:highlight w:val="none"/>
        </w:rPr>
        <w:t>越窑青瓷</w:t>
      </w:r>
      <w:r>
        <w:rPr>
          <w:rFonts w:hint="eastAsia" w:ascii="方正小标宋简体" w:hAnsi="方正小标宋简体" w:eastAsia="方正小标宋简体"/>
          <w:sz w:val="44"/>
          <w:szCs w:val="44"/>
          <w:highlight w:val="none"/>
          <w:lang w:eastAsia="zh-CN"/>
        </w:rPr>
        <w:t>”</w:t>
      </w:r>
      <w:r>
        <w:rPr>
          <w:rFonts w:hint="eastAsia" w:ascii="方正小标宋简体" w:hAnsi="方正小标宋简体" w:eastAsia="方正小标宋简体"/>
          <w:sz w:val="44"/>
          <w:szCs w:val="44"/>
          <w:highlight w:val="none"/>
        </w:rPr>
        <w:t>产业赛竞赛细则</w:t>
      </w:r>
    </w:p>
    <w:p w14:paraId="26F07585">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一、产业概况</w:t>
      </w:r>
    </w:p>
    <w:p w14:paraId="284DA0D7">
      <w:pPr>
        <w:pStyle w:val="9"/>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ascii="仿宋" w:hAnsi="仿宋" w:eastAsia="仿宋" w:cs="仿宋"/>
          <w:color w:val="0F1115"/>
          <w:sz w:val="32"/>
          <w:szCs w:val="32"/>
          <w:highlight w:val="none"/>
          <w:shd w:val="clear" w:color="auto" w:fill="FFFFFF"/>
        </w:rPr>
      </w:pPr>
      <w:r>
        <w:rPr>
          <w:rFonts w:hint="eastAsia" w:ascii="仿宋" w:hAnsi="仿宋" w:eastAsia="仿宋" w:cs="仿宋"/>
          <w:color w:val="0F1115"/>
          <w:sz w:val="32"/>
          <w:szCs w:val="32"/>
          <w:highlight w:val="none"/>
          <w:shd w:val="clear" w:color="auto" w:fill="FFFFFF"/>
        </w:rPr>
        <w:t>越窑青瓷是中国古代青瓷的重要代表，</w:t>
      </w:r>
      <w:r>
        <w:rPr>
          <w:rFonts w:hint="eastAsia" w:ascii="仿宋" w:hAnsi="仿宋" w:eastAsia="仿宋" w:cs="仿宋"/>
          <w:color w:val="333333"/>
          <w:sz w:val="32"/>
          <w:szCs w:val="32"/>
          <w:highlight w:val="none"/>
        </w:rPr>
        <w:t>与越王剑、会稽铜镜共同被誉为“绍兴三宝”</w:t>
      </w:r>
      <w:r>
        <w:rPr>
          <w:rFonts w:ascii="微软雅黑" w:hAnsi="微软雅黑" w:eastAsia="微软雅黑" w:cs="微软雅黑"/>
          <w:color w:val="333333"/>
          <w:sz w:val="24"/>
          <w:szCs w:val="24"/>
          <w:highlight w:val="none"/>
        </w:rPr>
        <w:t>。</w:t>
      </w:r>
      <w:r>
        <w:rPr>
          <w:rFonts w:hint="eastAsia" w:ascii="仿宋" w:hAnsi="仿宋" w:eastAsia="仿宋" w:cs="仿宋"/>
          <w:color w:val="0F1115"/>
          <w:sz w:val="32"/>
          <w:szCs w:val="32"/>
          <w:highlight w:val="none"/>
          <w:shd w:val="clear" w:color="auto" w:fill="FFFFFF"/>
        </w:rPr>
        <w:t>始于东汉，兴于唐宋，以“千峰翠色”著称，承载着深厚的越地文化底蕴。绍兴作为越窑青瓷的发源地之一，拥有丰富的陶瓷文化资源与工艺传承基础。近年来，传统工艺与当代设计、文创产业的融合日益紧密，青瓷产品在日用器皿、茶具、香器、家居装饰、礼品定制等领域展现出广阔的市场潜力。</w:t>
      </w:r>
    </w:p>
    <w:p w14:paraId="577ECF3E">
      <w:pPr>
        <w:pStyle w:val="9"/>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ascii="仿宋" w:hAnsi="仿宋" w:eastAsia="仿宋" w:cs="仿宋"/>
          <w:sz w:val="32"/>
          <w:szCs w:val="32"/>
          <w:highlight w:val="none"/>
        </w:rPr>
      </w:pPr>
      <w:r>
        <w:rPr>
          <w:rFonts w:hint="eastAsia" w:ascii="仿宋" w:hAnsi="仿宋" w:eastAsia="仿宋" w:cs="仿宋"/>
          <w:color w:val="0F1115"/>
          <w:sz w:val="32"/>
          <w:szCs w:val="32"/>
          <w:highlight w:val="none"/>
          <w:shd w:val="clear" w:color="auto" w:fill="FFFFFF"/>
        </w:rPr>
        <w:t>本次“越窑青瓷”产业赛道由绍兴市越城区工艺美术行业协会、绍兴市工业设计基地（省级设计中心）和浙江越青堂青瓷文化有限公司赞助支持，旨在依托竞赛平台，推动青瓷文化的创造性转化与创新性发展，引导青年设计师以现代设计语言重塑传统工艺，打造兼具文化内涵与市场价值的青瓷产品，助力绍兴工艺美术产业高质量发展。</w:t>
      </w:r>
    </w:p>
    <w:p w14:paraId="164DCE03">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rPr>
        <w:t>二、</w:t>
      </w:r>
      <w:r>
        <w:rPr>
          <w:rFonts w:hint="eastAsia" w:ascii="黑体" w:hAnsi="黑体" w:eastAsia="黑体" w:cs="黑体"/>
          <w:sz w:val="32"/>
          <w:szCs w:val="32"/>
          <w:highlight w:val="none"/>
          <w:lang w:val="en-US" w:eastAsia="zh-CN"/>
        </w:rPr>
        <w:t>组织机构</w:t>
      </w:r>
    </w:p>
    <w:p w14:paraId="6DC548DF">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eastAsia" w:ascii="仿宋" w:hAnsi="仿宋" w:eastAsia="仿宋" w:cs="仿宋"/>
          <w:color w:val="0F1115"/>
          <w:sz w:val="32"/>
          <w:szCs w:val="32"/>
          <w:highlight w:val="none"/>
          <w:shd w:val="clear" w:color="auto" w:fill="FFFFFF"/>
          <w:lang w:eastAsia="zh-CN"/>
        </w:rPr>
      </w:pPr>
      <w:r>
        <w:rPr>
          <w:rFonts w:hint="eastAsia" w:ascii="仿宋" w:hAnsi="仿宋" w:eastAsia="仿宋" w:cs="仿宋"/>
          <w:color w:val="0F1115"/>
          <w:sz w:val="32"/>
          <w:szCs w:val="32"/>
          <w:highlight w:val="none"/>
          <w:shd w:val="clear" w:color="auto" w:fill="FFFFFF"/>
          <w:lang w:val="en-US" w:eastAsia="zh-CN"/>
        </w:rPr>
        <w:t>承办单位：</w:t>
      </w:r>
      <w:r>
        <w:rPr>
          <w:rFonts w:hint="eastAsia" w:ascii="仿宋" w:hAnsi="仿宋" w:eastAsia="仿宋" w:cs="仿宋"/>
          <w:color w:val="0F1115"/>
          <w:sz w:val="32"/>
          <w:szCs w:val="32"/>
          <w:highlight w:val="none"/>
          <w:shd w:val="clear" w:color="auto" w:fill="FFFFFF"/>
        </w:rPr>
        <w:t>绍兴市越城区工艺美术行业协会</w:t>
      </w:r>
      <w:r>
        <w:rPr>
          <w:rFonts w:hint="eastAsia" w:ascii="仿宋" w:hAnsi="仿宋" w:eastAsia="仿宋" w:cs="仿宋"/>
          <w:color w:val="0F1115"/>
          <w:sz w:val="32"/>
          <w:szCs w:val="32"/>
          <w:highlight w:val="none"/>
          <w:shd w:val="clear" w:color="auto" w:fill="FFFFFF"/>
          <w:lang w:eastAsia="zh-CN"/>
        </w:rPr>
        <w:t>、</w:t>
      </w:r>
      <w:bookmarkStart w:id="4" w:name="OLE_LINK3"/>
      <w:r>
        <w:rPr>
          <w:rFonts w:hint="eastAsia" w:ascii="仿宋" w:hAnsi="仿宋" w:eastAsia="仿宋" w:cs="仿宋"/>
          <w:color w:val="0F1115"/>
          <w:sz w:val="32"/>
          <w:szCs w:val="32"/>
          <w:highlight w:val="none"/>
          <w:shd w:val="clear" w:color="auto" w:fill="FFFFFF"/>
        </w:rPr>
        <w:t>浙江越青堂青瓷文化有限公司</w:t>
      </w:r>
      <w:r>
        <w:rPr>
          <w:rFonts w:hint="eastAsia" w:ascii="仿宋" w:hAnsi="仿宋" w:eastAsia="仿宋" w:cs="仿宋"/>
          <w:color w:val="0F1115"/>
          <w:sz w:val="32"/>
          <w:szCs w:val="32"/>
          <w:highlight w:val="none"/>
          <w:shd w:val="clear" w:color="auto" w:fill="FFFFFF"/>
          <w:lang w:eastAsia="zh-CN"/>
        </w:rPr>
        <w:t>、</w:t>
      </w:r>
      <w:r>
        <w:rPr>
          <w:rFonts w:hint="eastAsia" w:ascii="仿宋" w:hAnsi="仿宋" w:eastAsia="仿宋" w:cs="仿宋"/>
          <w:color w:val="0F1115"/>
          <w:sz w:val="32"/>
          <w:szCs w:val="32"/>
          <w:highlight w:val="none"/>
          <w:shd w:val="clear" w:color="auto" w:fill="FFFFFF"/>
        </w:rPr>
        <w:t>浙江工业职业技术学院</w:t>
      </w:r>
    </w:p>
    <w:bookmarkEnd w:id="4"/>
    <w:p w14:paraId="05868A17">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三、竞赛命题</w:t>
      </w:r>
    </w:p>
    <w:p w14:paraId="130749C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 w:hAnsi="仿宋" w:eastAsia="仿宋" w:cs="仿宋"/>
          <w:sz w:val="32"/>
          <w:szCs w:val="32"/>
          <w:highlight w:val="none"/>
        </w:rPr>
      </w:pPr>
      <w:r>
        <w:rPr>
          <w:rFonts w:hint="eastAsia" w:ascii="仿宋" w:hAnsi="仿宋" w:eastAsia="仿宋" w:cs="仿宋"/>
          <w:sz w:val="32"/>
          <w:szCs w:val="32"/>
          <w:highlight w:val="none"/>
        </w:rPr>
        <w:t>本次竞赛</w:t>
      </w:r>
      <w:r>
        <w:rPr>
          <w:rFonts w:hint="eastAsia" w:ascii="仿宋" w:hAnsi="仿宋" w:eastAsia="仿宋" w:cs="仿宋"/>
          <w:b w:val="0"/>
          <w:bCs w:val="0"/>
          <w:sz w:val="32"/>
          <w:szCs w:val="32"/>
          <w:highlight w:val="none"/>
        </w:rPr>
        <w:t>以“越窑新生·设计共创”</w:t>
      </w:r>
      <w:r>
        <w:rPr>
          <w:rFonts w:hint="eastAsia" w:ascii="仿宋" w:hAnsi="仿宋" w:eastAsia="仿宋" w:cs="仿宋"/>
          <w:sz w:val="32"/>
          <w:szCs w:val="32"/>
          <w:highlight w:val="none"/>
        </w:rPr>
        <w:t>为主题，聚焦越窑青瓷的工艺特色与文化基因，结合当代生活方式与审美趋势，围绕以下三个方向开展产品创新设计。参赛者可围绕青瓷的造型、釉色、纹饰、材质、功能、使用场景等要素进行设计探索，鼓励跨界融合与系统化思考。</w:t>
      </w:r>
    </w:p>
    <w:p w14:paraId="3700057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1</w:t>
      </w:r>
      <w:r>
        <w:rPr>
          <w:rFonts w:hint="eastAsia" w:ascii="楷体_GB2312" w:hAnsi="楷体_GB2312" w:eastAsia="楷体_GB2312" w:cs="楷体_GB2312"/>
          <w:color w:val="000000" w:themeColor="text1"/>
          <w:sz w:val="32"/>
          <w:szCs w:val="32"/>
          <w:highlight w:val="none"/>
          <w14:textFill>
            <w14:solidFill>
              <w14:schemeClr w14:val="tx1"/>
            </w14:solidFill>
          </w14:textFill>
        </w:rPr>
        <w:t>：青瓷生活器物设计</w:t>
      </w:r>
    </w:p>
    <w:p w14:paraId="1DC756D8">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仿宋" w:hAnsi="仿宋" w:eastAsia="仿宋" w:cs="仿宋"/>
          <w:b/>
          <w:bCs/>
          <w:sz w:val="32"/>
          <w:szCs w:val="32"/>
          <w:highlight w:val="none"/>
        </w:rPr>
      </w:pPr>
      <w:r>
        <w:rPr>
          <w:rFonts w:hint="eastAsia" w:ascii="仿宋" w:hAnsi="仿宋" w:eastAsia="仿宋" w:cs="仿宋"/>
          <w:sz w:val="32"/>
          <w:szCs w:val="32"/>
          <w:highlight w:val="none"/>
        </w:rPr>
        <w:t>设计要求：以越窑青瓷为核心材质，设计符合当代生活场景的日用器物，如茶具、餐具、香器、花器、文具、收纳器等。要求作品兼顾实用性、美观性与文化表达，在造型、釉色、触感等方面体现青瓷的独特韵味，适应现代家居、办公、茶空间等多元场景，提升日常生活的审美体验。</w:t>
      </w:r>
    </w:p>
    <w:p w14:paraId="56706D5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2</w:t>
      </w:r>
      <w:r>
        <w:rPr>
          <w:rFonts w:hint="eastAsia" w:ascii="楷体_GB2312" w:hAnsi="楷体_GB2312" w:eastAsia="楷体_GB2312" w:cs="楷体_GB2312"/>
          <w:color w:val="000000" w:themeColor="text1"/>
          <w:sz w:val="32"/>
          <w:szCs w:val="32"/>
          <w:highlight w:val="none"/>
          <w14:textFill>
            <w14:solidFill>
              <w14:schemeClr w14:val="tx1"/>
            </w14:solidFill>
          </w14:textFill>
        </w:rPr>
        <w:t>：青瓷文创伴手礼设计</w:t>
      </w:r>
    </w:p>
    <w:p w14:paraId="156305AF">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仿宋" w:hAnsi="仿宋" w:eastAsia="仿宋" w:cs="仿宋"/>
          <w:sz w:val="32"/>
          <w:szCs w:val="32"/>
          <w:highlight w:val="none"/>
        </w:rPr>
      </w:pPr>
      <w:r>
        <w:rPr>
          <w:rFonts w:hint="eastAsia" w:ascii="仿宋" w:hAnsi="仿宋" w:eastAsia="仿宋" w:cs="仿宋"/>
          <w:sz w:val="32"/>
          <w:szCs w:val="32"/>
          <w:highlight w:val="none"/>
        </w:rPr>
        <w:t>设计要求：围绕绍兴地域文化与越窑青瓷工艺，设计具有文化辨识度和礼品属性的文创产品，适用于旅游纪念、商务馈赠、节庆礼盒等场景。鼓励将青瓷与传统节日、非遗元素、地方故事相结合，注重包装设计与产品的一体化表达，打造兼具文化深度与市场吸引力的伴手礼产品。</w:t>
      </w:r>
    </w:p>
    <w:p w14:paraId="31445E2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color w:val="000000" w:themeColor="text1"/>
          <w:sz w:val="32"/>
          <w:szCs w:val="32"/>
          <w:highlight w:val="none"/>
          <w14:textFill>
            <w14:solidFill>
              <w14:schemeClr w14:val="tx1"/>
            </w14:solidFill>
          </w14:textFill>
        </w:rPr>
        <w:t>命题</w:t>
      </w:r>
      <w:r>
        <w:rPr>
          <w:rFonts w:hint="default" w:ascii="Times New Roman Regular" w:hAnsi="Times New Roman Regular" w:eastAsia="楷体_GB2312" w:cs="Times New Roman Regular"/>
          <w:color w:val="000000" w:themeColor="text1"/>
          <w:sz w:val="32"/>
          <w:szCs w:val="32"/>
          <w:highlight w:val="none"/>
          <w14:textFill>
            <w14:solidFill>
              <w14:schemeClr w14:val="tx1"/>
            </w14:solidFill>
          </w14:textFill>
        </w:rPr>
        <w:t>3</w:t>
      </w:r>
      <w:r>
        <w:rPr>
          <w:rFonts w:hint="eastAsia" w:ascii="楷体_GB2312" w:hAnsi="楷体_GB2312" w:eastAsia="楷体_GB2312" w:cs="楷体_GB2312"/>
          <w:color w:val="000000" w:themeColor="text1"/>
          <w:sz w:val="32"/>
          <w:szCs w:val="32"/>
          <w:highlight w:val="none"/>
          <w14:textFill>
            <w14:solidFill>
              <w14:schemeClr w14:val="tx1"/>
            </w14:solidFill>
          </w14:textFill>
        </w:rPr>
        <w:t>：青瓷跨界融合产品设计</w:t>
      </w:r>
    </w:p>
    <w:p w14:paraId="43E2222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黑体" w:hAnsi="黑体" w:eastAsia="黑体" w:cs="黑体"/>
          <w:sz w:val="32"/>
          <w:szCs w:val="32"/>
          <w:highlight w:val="none"/>
        </w:rPr>
      </w:pPr>
      <w:r>
        <w:rPr>
          <w:rFonts w:hint="eastAsia" w:ascii="仿宋" w:hAnsi="仿宋" w:eastAsia="仿宋" w:cs="仿宋"/>
          <w:sz w:val="32"/>
          <w:szCs w:val="32"/>
          <w:highlight w:val="none"/>
        </w:rPr>
        <w:t>设计要求：探索青瓷与现代生活方式、新兴技术或新材料结合的创新可能。设计方向可包括但不限于：青瓷与智能家居、照明产品、音响设备、茶空间模块化产品、便携式茶饮器具等。鼓励突破传统器皿边界，拓展青瓷的功能维度与使用场景，形成具有前瞻性和创新性的跨界产品方案。</w:t>
      </w:r>
    </w:p>
    <w:p w14:paraId="29741BBC">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四、参赛对象</w:t>
      </w:r>
    </w:p>
    <w:p w14:paraId="6638A363">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sz w:val="32"/>
          <w:szCs w:val="32"/>
          <w:highlight w:val="none"/>
        </w:rPr>
        <w:t>浙江省普通高校全日制在校大学生，以团队的方式，通过学校推荐报名参赛。每个参赛队学生人数与指导教师人数均不超过3人。竞赛允许研究生与本专科生混合组队，排名不限，研究生不得单独组队。</w:t>
      </w:r>
    </w:p>
    <w:p w14:paraId="68B96A11">
      <w:pPr>
        <w:keepNext w:val="0"/>
        <w:keepLines w:val="0"/>
        <w:pageBreakBefore w:val="0"/>
        <w:kinsoku/>
        <w:wordWrap/>
        <w:overflowPunct/>
        <w:topLinePunct w:val="0"/>
        <w:autoSpaceDE/>
        <w:autoSpaceDN/>
        <w:bidi w:val="0"/>
        <w:spacing w:line="580" w:lineRule="exact"/>
        <w:ind w:firstLine="640" w:firstLineChars="200"/>
        <w:jc w:val="both"/>
        <w:textAlignment w:val="auto"/>
        <w:rPr>
          <w:highlight w:val="none"/>
        </w:rPr>
      </w:pPr>
      <w:r>
        <w:rPr>
          <w:rFonts w:hint="eastAsia" w:ascii="黑体" w:hAnsi="黑体" w:eastAsia="黑体" w:cs="黑体"/>
          <w:sz w:val="32"/>
          <w:szCs w:val="32"/>
          <w:highlight w:val="none"/>
        </w:rPr>
        <w:t>五、赛程安排</w:t>
      </w:r>
    </w:p>
    <w:p w14:paraId="2B739CF9">
      <w:pPr>
        <w:pStyle w:val="9"/>
        <w:keepNext w:val="0"/>
        <w:keepLines w:val="0"/>
        <w:pageBreakBefore w:val="0"/>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ascii="仿宋" w:hAnsi="仿宋" w:eastAsia="仿宋" w:cs="仿宋"/>
          <w:sz w:val="32"/>
          <w:szCs w:val="32"/>
          <w:highlight w:val="none"/>
        </w:rPr>
      </w:pPr>
      <w:r>
        <w:rPr>
          <w:rFonts w:hint="default" w:ascii="Times New Roman Regular" w:hAnsi="Times New Roman Regular" w:eastAsia="仿宋_GB2312" w:cs="Times New Roman Regular"/>
          <w:sz w:val="32"/>
          <w:szCs w:val="32"/>
          <w:highlight w:val="none"/>
        </w:rPr>
        <w:t>1.初赛阶段（</w:t>
      </w:r>
      <w:r>
        <w:rPr>
          <w:rFonts w:hint="default" w:ascii="Times New Roman Regular" w:hAnsi="Times New Roman Regular" w:eastAsia="仿宋_GB2312" w:cs="Times New Roman Regular"/>
          <w:sz w:val="32"/>
          <w:szCs w:val="32"/>
          <w:highlight w:val="none"/>
          <w:lang w:val="en-US" w:eastAsia="zh-CN"/>
        </w:rPr>
        <w:t>5～7</w:t>
      </w:r>
      <w:r>
        <w:rPr>
          <w:rFonts w:hint="default" w:ascii="Times New Roman Regular" w:hAnsi="Times New Roman Regular" w:eastAsia="仿宋_GB2312" w:cs="Times New Roman Regular"/>
          <w:sz w:val="32"/>
          <w:szCs w:val="32"/>
          <w:highlight w:val="none"/>
        </w:rPr>
        <w:t>月）：</w:t>
      </w:r>
      <w:r>
        <w:rPr>
          <w:rFonts w:hint="eastAsia" w:ascii="仿宋" w:hAnsi="仿宋" w:eastAsia="仿宋" w:cs="仿宋"/>
          <w:color w:val="0F1115"/>
          <w:sz w:val="32"/>
          <w:szCs w:val="32"/>
          <w:highlight w:val="none"/>
          <w:shd w:val="clear" w:color="auto" w:fill="FFFFFF"/>
        </w:rPr>
        <w:t>各校参赛队以小组方式设计参赛作品，并由各学校经初评后提交至竞赛网络平台。根据各高校报送作品，组织邀请专家进行初赛评审，确定并公布入围决赛作品。</w:t>
      </w:r>
    </w:p>
    <w:p w14:paraId="1BC17AB8">
      <w:pPr>
        <w:pStyle w:val="9"/>
        <w:keepNext w:val="0"/>
        <w:keepLines w:val="0"/>
        <w:pageBreakBefore w:val="0"/>
        <w:kinsoku/>
        <w:wordWrap/>
        <w:overflowPunct/>
        <w:topLinePunct w:val="0"/>
        <w:autoSpaceDE/>
        <w:autoSpaceDN/>
        <w:bidi w:val="0"/>
        <w:adjustRightInd w:val="0"/>
        <w:snapToGrid w:val="0"/>
        <w:spacing w:before="0" w:beforeAutospacing="0" w:after="0" w:afterAutospacing="0" w:line="580" w:lineRule="exact"/>
        <w:ind w:firstLine="640" w:firstLineChars="200"/>
        <w:jc w:val="both"/>
        <w:textAlignment w:val="auto"/>
        <w:rPr>
          <w:rFonts w:ascii="黑体" w:hAnsi="黑体" w:eastAsia="黑体" w:cs="黑体"/>
          <w:sz w:val="32"/>
          <w:szCs w:val="32"/>
          <w:highlight w:val="none"/>
        </w:rPr>
      </w:pPr>
      <w:r>
        <w:rPr>
          <w:rFonts w:hint="default" w:ascii="Times New Roman Regular" w:hAnsi="Times New Roman Regular" w:eastAsia="仿宋_GB2312" w:cs="Times New Roman Regular"/>
          <w:sz w:val="32"/>
          <w:szCs w:val="32"/>
          <w:highlight w:val="none"/>
        </w:rPr>
        <w:t>2.决赛阶段（</w:t>
      </w:r>
      <w:r>
        <w:rPr>
          <w:rFonts w:hint="default" w:ascii="Times New Roman Regular" w:hAnsi="Times New Roman Regular" w:eastAsia="仿宋_GB2312" w:cs="Times New Roman Regular"/>
          <w:sz w:val="32"/>
          <w:szCs w:val="32"/>
          <w:highlight w:val="none"/>
          <w:lang w:val="en-US" w:eastAsia="zh-CN"/>
        </w:rPr>
        <w:t>8～</w:t>
      </w:r>
      <w:r>
        <w:rPr>
          <w:rFonts w:hint="default" w:ascii="Times New Roman Regular" w:hAnsi="Times New Roman Regular" w:eastAsia="仿宋_GB2312" w:cs="Times New Roman Regular"/>
          <w:sz w:val="32"/>
          <w:szCs w:val="32"/>
          <w:highlight w:val="none"/>
        </w:rPr>
        <w:t>10月）：</w:t>
      </w:r>
      <w:r>
        <w:rPr>
          <w:rFonts w:hint="eastAsia" w:ascii="仿宋" w:hAnsi="仿宋" w:eastAsia="仿宋" w:cs="仿宋"/>
          <w:color w:val="0F1115"/>
          <w:sz w:val="32"/>
          <w:szCs w:val="32"/>
          <w:highlight w:val="none"/>
          <w:shd w:val="clear" w:color="auto" w:fill="FFFFFF"/>
        </w:rPr>
        <w:t>入围决赛作品需做进一步设计优化，并制作样机或模型、展示版面和</w:t>
      </w:r>
      <w:r>
        <w:rPr>
          <w:rFonts w:hint="default" w:ascii="Times New Roman Regular" w:hAnsi="Times New Roman Regular" w:eastAsia="仿宋" w:cs="Times New Roman Regular"/>
          <w:color w:val="0F1115"/>
          <w:sz w:val="32"/>
          <w:szCs w:val="32"/>
          <w:highlight w:val="none"/>
          <w:shd w:val="clear" w:color="auto" w:fill="FFFFFF"/>
        </w:rPr>
        <w:t>PPT</w:t>
      </w:r>
      <w:r>
        <w:rPr>
          <w:rFonts w:hint="eastAsia" w:ascii="仿宋" w:hAnsi="仿宋" w:eastAsia="仿宋" w:cs="仿宋"/>
          <w:color w:val="0F1115"/>
          <w:sz w:val="32"/>
          <w:szCs w:val="32"/>
          <w:highlight w:val="none"/>
          <w:shd w:val="clear" w:color="auto" w:fill="FFFFFF"/>
        </w:rPr>
        <w:t>文件等。最终决赛以现场答辩的形式决出各奖项，参赛团队可以结合多种表现形式进行设计理念阐述。承办方对获奖作品进行线下展览对接等活动。</w:t>
      </w:r>
    </w:p>
    <w:p w14:paraId="1020D99D">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六、评审标准</w:t>
      </w:r>
    </w:p>
    <w:p w14:paraId="661CDA33">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 xml:space="preserve">1.创新性（10%）：围绕设计对象，通过对目标人群的观察和调 研分析、竞品的深入对比研究，进行产品的设计构思，实现 产品功能、造型、结构、使用体验、CMF等创新。 </w:t>
      </w:r>
    </w:p>
    <w:p w14:paraId="0FFF8BB8">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2.市场性（30%）：充分理解大赛的主题主旨，尽可能保证设计 成果的落地性，</w:t>
      </w:r>
      <w:r>
        <w:rPr>
          <w:rFonts w:hint="eastAsia" w:ascii="Times New Roman Regular" w:hAnsi="Times New Roman Regular" w:eastAsia="仿宋" w:cs="Times New Roman Regular"/>
          <w:sz w:val="32"/>
          <w:szCs w:val="32"/>
          <w:highlight w:val="none"/>
          <w:lang w:eastAsia="zh-CN"/>
        </w:rPr>
        <w:t>倡导</w:t>
      </w:r>
      <w:r>
        <w:rPr>
          <w:rFonts w:hint="default" w:ascii="Times New Roman Regular" w:hAnsi="Times New Roman Regular" w:eastAsia="仿宋" w:cs="Times New Roman Regular"/>
          <w:sz w:val="32"/>
          <w:szCs w:val="32"/>
          <w:highlight w:val="none"/>
        </w:rPr>
        <w:t>正确的设计价值观，市场推广前景好。</w:t>
      </w:r>
    </w:p>
    <w:p w14:paraId="42CFF8E5">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3.可行性（30%）：造型美观，注重产品的生产工艺特点，充分考虑当前技术条件和技术限制，可进行批量生产制造。</w:t>
      </w:r>
    </w:p>
    <w:p w14:paraId="17A4B52A">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4.表达清晰性（30%）：产品展示效果清晰，必要的结构图、基本外观尺寸图及说明文字等信息完整，产品的效用功能和使用方式表达清晰。</w:t>
      </w:r>
    </w:p>
    <w:p w14:paraId="2F32710F">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七、奖项设置</w:t>
      </w:r>
    </w:p>
    <w:p w14:paraId="2C403512">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本产业赛道按一等奖10项、二等奖20项、三等奖40项 比例设立（若作品不足200件，则按照总作品数量5%、10%、20%的比例确定各奖项）。其中一等奖作品将颁发</w:t>
      </w:r>
      <w:r>
        <w:rPr>
          <w:rFonts w:hint="eastAsia" w:ascii="仿宋_GB2312" w:hAnsi="仿宋_GB2312" w:eastAsia="仿宋_GB2312"/>
          <w:sz w:val="32"/>
          <w:szCs w:val="32"/>
          <w:highlight w:val="none"/>
        </w:rPr>
        <w:t>“</w:t>
      </w:r>
      <w:r>
        <w:rPr>
          <w:rFonts w:hint="eastAsia" w:ascii="仿宋_GB2312" w:hAnsi="仿宋_GB2312" w:eastAsia="仿宋_GB2312"/>
          <w:sz w:val="32"/>
          <w:szCs w:val="32"/>
          <w:highlight w:val="none"/>
          <w:lang w:val="en-US" w:eastAsia="zh-CN"/>
        </w:rPr>
        <w:t>越窑青瓷</w:t>
      </w:r>
      <w:r>
        <w:rPr>
          <w:rFonts w:hint="eastAsia" w:ascii="仿宋_GB2312" w:hAnsi="仿宋_GB2312" w:eastAsia="仿宋_GB2312"/>
          <w:sz w:val="32"/>
          <w:szCs w:val="32"/>
          <w:highlight w:val="none"/>
        </w:rPr>
        <w:t>产品设计孵化基金”</w:t>
      </w:r>
      <w:r>
        <w:rPr>
          <w:rFonts w:hint="default" w:ascii="Times New Roman Regular" w:hAnsi="Times New Roman Regular" w:eastAsia="仿宋_GB2312" w:cs="Times New Roman Regular"/>
          <w:sz w:val="32"/>
          <w:szCs w:val="32"/>
          <w:highlight w:val="none"/>
        </w:rPr>
        <w:t>5000 元（税前）以兹鼓励</w:t>
      </w:r>
      <w:r>
        <w:rPr>
          <w:rFonts w:hint="default" w:ascii="Times New Roman Regular" w:hAnsi="Times New Roman Regular" w:eastAsia="仿宋" w:cs="Times New Roman Regular"/>
          <w:sz w:val="32"/>
          <w:szCs w:val="32"/>
          <w:highlight w:val="none"/>
        </w:rPr>
        <w:t>。（奖励发放说明：奖金将发放给作品报名表中排位第一的作者，具体分配由团队内部协商）</w:t>
      </w:r>
    </w:p>
    <w:p w14:paraId="77CE2788">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八、作品要求</w:t>
      </w:r>
    </w:p>
    <w:p w14:paraId="46DE09C5">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eastAsia" w:ascii="Times New Roman" w:hAnsi="Times New Roman" w:eastAsia="仿宋_GB2312" w:cs="Times New Roman"/>
          <w:sz w:val="32"/>
          <w:szCs w:val="32"/>
          <w:highlight w:val="none"/>
        </w:rPr>
      </w:pPr>
      <w:r>
        <w:rPr>
          <w:rFonts w:hint="default" w:ascii="Times New Roman Regular" w:hAnsi="Times New Roman Regular" w:eastAsia="仿宋" w:cs="Times New Roman Regular"/>
          <w:sz w:val="32"/>
          <w:szCs w:val="32"/>
          <w:highlight w:val="none"/>
          <w:lang w:val="en-US" w:eastAsia="zh-CN"/>
        </w:rPr>
        <w:t>1</w:t>
      </w:r>
      <w:r>
        <w:rPr>
          <w:rFonts w:hint="default" w:ascii="Times New Roman Regular" w:hAnsi="Times New Roman Regular" w:eastAsia="仿宋" w:cs="Times New Roman Regular"/>
          <w:sz w:val="32"/>
          <w:szCs w:val="32"/>
          <w:highlight w:val="none"/>
        </w:rPr>
        <w:t>.</w:t>
      </w:r>
      <w:r>
        <w:rPr>
          <w:rFonts w:hint="eastAsia" w:ascii="Times New Roman" w:hAnsi="Times New Roman" w:eastAsia="仿宋_GB2312" w:cs="Times New Roman"/>
          <w:sz w:val="32"/>
          <w:szCs w:val="32"/>
          <w:highlight w:val="none"/>
        </w:rPr>
        <w:t>初赛作品需提交A3横构图版面1张（尺寸为420mm×297mm，分辨率为144dpi，色彩模式为RGB模式，格式为jpg格式），版面内容包含主题、效果图、必要的结构图、基本外观尺寸图及说明文字等。</w:t>
      </w:r>
    </w:p>
    <w:p w14:paraId="4C8A5D6E">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eastAsia" w:ascii="Times New Roman Regular" w:hAnsi="Times New Roman Regular" w:eastAsia="仿宋" w:cs="Times New Roman Regular"/>
          <w:sz w:val="32"/>
          <w:szCs w:val="32"/>
          <w:highlight w:val="none"/>
          <w:lang w:val="en-US" w:eastAsia="zh-CN"/>
        </w:rPr>
        <w:t>2</w:t>
      </w:r>
      <w:r>
        <w:rPr>
          <w:rFonts w:hint="default" w:ascii="Times New Roman Regular" w:hAnsi="Times New Roman Regular" w:eastAsia="仿宋" w:cs="Times New Roman Regular"/>
          <w:sz w:val="32"/>
          <w:szCs w:val="32"/>
          <w:highlight w:val="none"/>
        </w:rPr>
        <w:t>.入围决赛作品需制作样机（模型）、展示版面（尺寸为800mm×1800mm，分辨率为144dpi，色彩模式为RGB模式，格式为jpg格式）和答辩文件（格式可以为PowerPoint、PDF或者Video(MP4)的形式）等。</w:t>
      </w:r>
    </w:p>
    <w:p w14:paraId="790CDAB9">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lang w:val="en-US" w:eastAsia="zh-CN"/>
        </w:rPr>
        <w:t>3</w:t>
      </w:r>
      <w:r>
        <w:rPr>
          <w:rFonts w:hint="default" w:ascii="Times New Roman Regular" w:hAnsi="Times New Roman Regular" w:eastAsia="仿宋" w:cs="Times New Roman Regular"/>
          <w:sz w:val="32"/>
          <w:szCs w:val="32"/>
          <w:highlight w:val="none"/>
        </w:rPr>
        <w:t>.为保证本次竞赛评选的公正性，参赛作品、版面和电子演讲稿上不得出现作者所在单位、姓名（包括英文或拼音缩写），或与作者身份有关的任何图标、形等个人信息资料，违者将作为无效作品处理。</w:t>
      </w:r>
    </w:p>
    <w:p w14:paraId="589725FA">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b w:val="0"/>
          <w:sz w:val="32"/>
          <w:szCs w:val="32"/>
          <w:highlight w:val="none"/>
        </w:rPr>
      </w:pPr>
      <w:r>
        <w:rPr>
          <w:rFonts w:hint="default" w:ascii="Times New Roman Regular" w:hAnsi="Times New Roman Regular" w:eastAsia="仿宋" w:cs="Times New Roman Regular"/>
          <w:b w:val="0"/>
          <w:sz w:val="32"/>
          <w:szCs w:val="32"/>
          <w:highlight w:val="none"/>
        </w:rPr>
        <w:t>4.</w:t>
      </w:r>
      <w:r>
        <w:rPr>
          <w:rFonts w:hint="default" w:ascii="Times New Roman Regular" w:hAnsi="Times New Roman Regular" w:eastAsia="仿宋" w:cs="Times New Roman Regular"/>
          <w:b w:val="0"/>
          <w:bCs/>
          <w:sz w:val="32"/>
          <w:szCs w:val="32"/>
          <w:highlight w:val="none"/>
        </w:rPr>
        <w:t>关于AIGC工具的使用</w:t>
      </w:r>
      <w:r>
        <w:rPr>
          <w:rFonts w:hint="default" w:ascii="Times New Roman Regular" w:hAnsi="Times New Roman Regular" w:eastAsia="仿宋" w:cs="Times New Roman Regular"/>
          <w:b w:val="0"/>
          <w:sz w:val="32"/>
          <w:szCs w:val="32"/>
          <w:highlight w:val="none"/>
        </w:rPr>
        <w:t>：参赛团队合理运用生成式人工智能工具辅助设计调研、方案构思、效果图表达等环节，提升设计效率与表现力。但作品的核心创意、造型设计、结构定义等必须为团队原创，严禁直接提交由AI生成未加实质性修改的完整设计方案。凡使用AIGC工具辅助设计的，须在作品说明中如实标注所用工具名称、用途及人工修改部分。评委会将对作品的原创性进行审核，如发现过度依赖AI生成而缺乏自主设计贡献的，将酌情扣分或取消参赛资格。</w:t>
      </w:r>
    </w:p>
    <w:p w14:paraId="4992AD2E">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b w:val="0"/>
          <w:sz w:val="32"/>
          <w:szCs w:val="32"/>
          <w:highlight w:val="none"/>
        </w:rPr>
      </w:pPr>
      <w:r>
        <w:rPr>
          <w:rFonts w:hint="default" w:ascii="Times New Roman Regular" w:hAnsi="Times New Roman Regular" w:eastAsia="仿宋" w:cs="Times New Roman Regular"/>
          <w:b w:val="0"/>
          <w:sz w:val="32"/>
          <w:szCs w:val="32"/>
          <w:highlight w:val="none"/>
        </w:rPr>
        <w:t>5.</w:t>
      </w:r>
      <w:r>
        <w:rPr>
          <w:rFonts w:hint="default" w:ascii="Times New Roman Regular" w:hAnsi="Times New Roman Regular" w:eastAsia="仿宋" w:cs="Times New Roman Regular"/>
          <w:b w:val="0"/>
          <w:bCs/>
          <w:sz w:val="32"/>
          <w:szCs w:val="32"/>
          <w:highlight w:val="none"/>
        </w:rPr>
        <w:t>关于建模源文件的要求</w:t>
      </w:r>
      <w:r>
        <w:rPr>
          <w:rFonts w:hint="default" w:ascii="Times New Roman Regular" w:hAnsi="Times New Roman Regular" w:eastAsia="仿宋" w:cs="Times New Roman Regular"/>
          <w:b w:val="0"/>
          <w:sz w:val="32"/>
          <w:szCs w:val="32"/>
          <w:highlight w:val="none"/>
        </w:rPr>
        <w:t>：所有参赛作品（含初赛与决赛）在提交作品版面的同时，必须同步提交产品三维建模源文件（STEP格式，即*.stp 或 *.step）。源文件应包含完整的产品外形、主要结构及部件装配关系，能够真实反映设计方案的立体形态与尺寸比例。未提交或提交文件无法正常打开的，视为作品不完整，不予评审。</w:t>
      </w:r>
    </w:p>
    <w:p w14:paraId="325B617D">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sz w:val="32"/>
          <w:szCs w:val="32"/>
          <w:highlight w:val="none"/>
        </w:rPr>
      </w:pPr>
      <w:r>
        <w:rPr>
          <w:rFonts w:hint="eastAsia" w:ascii="黑体" w:hAnsi="黑体" w:eastAsia="黑体" w:cs="黑体"/>
          <w:sz w:val="32"/>
          <w:szCs w:val="32"/>
          <w:highlight w:val="none"/>
        </w:rPr>
        <w:t>九、作品版权说明</w:t>
      </w:r>
    </w:p>
    <w:p w14:paraId="683BE1BC">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_GB2312" w:cs="Times New Roman Regular"/>
          <w:sz w:val="32"/>
          <w:szCs w:val="32"/>
          <w:highlight w:val="none"/>
        </w:rPr>
      </w:pPr>
      <w:r>
        <w:rPr>
          <w:rFonts w:hint="default" w:ascii="Times New Roman Regular" w:hAnsi="Times New Roman Regular" w:eastAsia="仿宋_GB2312" w:cs="Times New Roman Regular"/>
          <w:sz w:val="32"/>
          <w:szCs w:val="32"/>
          <w:highlight w:val="none"/>
        </w:rPr>
        <w:t>1.参赛作品必须是参赛者原创作品，参赛者承诺对作品拥有充分、完全、自主知识产权，未侵犯任何他人的任何专利、著作权、商标权及其他知识产权。该作品未在报刊、杂志、网站及其他媒体公开发表，未申请专利或进行版权登记的作品，未参加过其他比赛，未以任何形式进入商业渠道。大赛不承担因作品侵犯他人（或单位）的权利而产生的法律责任，其法律责任由参赛者本人承担。</w:t>
      </w:r>
    </w:p>
    <w:p w14:paraId="16D2C99E">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2.</w:t>
      </w:r>
      <w:r>
        <w:rPr>
          <w:rFonts w:hint="eastAsia" w:ascii="Times New Roman Regular" w:hAnsi="Times New Roman Regular" w:eastAsia="仿宋" w:cs="Times New Roman Regular"/>
          <w:sz w:val="32"/>
          <w:szCs w:val="32"/>
          <w:highlight w:val="none"/>
          <w:lang w:val="en-US" w:eastAsia="zh-CN"/>
        </w:rPr>
        <w:t>荣获一等奖</w:t>
      </w:r>
      <w:r>
        <w:rPr>
          <w:rFonts w:hint="default" w:ascii="Times New Roman Regular" w:hAnsi="Times New Roman Regular" w:eastAsia="仿宋" w:cs="Times New Roman Regular"/>
          <w:sz w:val="32"/>
          <w:szCs w:val="32"/>
          <w:highlight w:val="none"/>
        </w:rPr>
        <w:t>作品版权归大赛组委会所有，作者享有署名权，大赛组委会独家拥有包括但不限于以下方式行使著作权：享有对所属大赛作品方案进行再设计、生产、销售、展示、出版和宣传等权利。获奖参赛者保证参赛作品终身不以同一作品形式参加其他设计比赛或转让给他方。否则大赛有权取消其获奖资格，收回奖金，并保留追究法律责任的权利。</w:t>
      </w:r>
    </w:p>
    <w:p w14:paraId="2B06D1E6">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十、联系方式</w:t>
      </w:r>
    </w:p>
    <w:p w14:paraId="2715AD10">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lang w:eastAsia="zh-CN"/>
        </w:rPr>
      </w:pPr>
      <w:r>
        <w:rPr>
          <w:rFonts w:hint="default" w:ascii="Times New Roman Regular" w:hAnsi="Times New Roman Regular" w:eastAsia="仿宋" w:cs="Times New Roman Regular"/>
          <w:sz w:val="32"/>
          <w:szCs w:val="32"/>
          <w:highlight w:val="none"/>
        </w:rPr>
        <w:t>联系地址：绍兴市越城区曲屯路151号</w:t>
      </w:r>
      <w:r>
        <w:rPr>
          <w:rFonts w:hint="default" w:ascii="Times New Roman Regular" w:hAnsi="Times New Roman Regular" w:eastAsia="仿宋" w:cs="Times New Roman Regular"/>
          <w:sz w:val="32"/>
          <w:szCs w:val="32"/>
          <w:highlight w:val="none"/>
          <w:lang w:eastAsia="zh-CN"/>
        </w:rPr>
        <w:t>（</w:t>
      </w:r>
      <w:r>
        <w:rPr>
          <w:rFonts w:hint="default" w:ascii="Times New Roman Regular" w:hAnsi="Times New Roman Regular" w:eastAsia="仿宋" w:cs="Times New Roman Regular"/>
          <w:sz w:val="32"/>
          <w:szCs w:val="32"/>
          <w:highlight w:val="none"/>
        </w:rPr>
        <w:t>312000</w:t>
      </w:r>
      <w:r>
        <w:rPr>
          <w:rFonts w:hint="default" w:ascii="Times New Roman Regular" w:hAnsi="Times New Roman Regular" w:eastAsia="仿宋" w:cs="Times New Roman Regular"/>
          <w:sz w:val="32"/>
          <w:szCs w:val="32"/>
          <w:highlight w:val="none"/>
          <w:lang w:eastAsia="zh-CN"/>
        </w:rPr>
        <w:t>）</w:t>
      </w:r>
    </w:p>
    <w:p w14:paraId="48DC354F">
      <w:pPr>
        <w:keepNext w:val="0"/>
        <w:keepLines w:val="0"/>
        <w:pageBreakBefore w:val="0"/>
        <w:kinsoku/>
        <w:wordWrap/>
        <w:overflowPunct/>
        <w:topLinePunct w:val="0"/>
        <w:autoSpaceDE/>
        <w:autoSpaceDN/>
        <w:bidi w:val="0"/>
        <w:spacing w:line="580" w:lineRule="exact"/>
        <w:ind w:firstLine="640" w:firstLineChars="200"/>
        <w:jc w:val="both"/>
        <w:textAlignment w:val="auto"/>
        <w:rPr>
          <w:rFonts w:hint="default" w:ascii="Times New Roman Regular" w:hAnsi="Times New Roman Regular" w:eastAsia="仿宋" w:cs="Times New Roman Regular"/>
          <w:sz w:val="32"/>
          <w:szCs w:val="32"/>
          <w:highlight w:val="none"/>
        </w:rPr>
      </w:pPr>
      <w:r>
        <w:rPr>
          <w:rFonts w:hint="default" w:ascii="Times New Roman Regular" w:hAnsi="Times New Roman Regular" w:eastAsia="仿宋" w:cs="Times New Roman Regular"/>
          <w:sz w:val="32"/>
          <w:szCs w:val="32"/>
          <w:highlight w:val="none"/>
        </w:rPr>
        <w:t>联系人：沈艳洪（15967585290）</w:t>
      </w:r>
    </w:p>
    <w:p w14:paraId="3D260750">
      <w:pPr>
        <w:keepNext w:val="0"/>
        <w:keepLines w:val="0"/>
        <w:pageBreakBefore w:val="0"/>
        <w:kinsoku/>
        <w:wordWrap/>
        <w:overflowPunct/>
        <w:topLinePunct w:val="0"/>
        <w:autoSpaceDE/>
        <w:autoSpaceDN/>
        <w:bidi w:val="0"/>
        <w:spacing w:line="580" w:lineRule="exact"/>
        <w:ind w:firstLine="480" w:firstLineChars="200"/>
        <w:jc w:val="both"/>
        <w:textAlignment w:val="auto"/>
        <w:rPr>
          <w:rFonts w:ascii="Times New Roman Regular" w:hAnsi="Times New Roman Regular" w:eastAsia="仿宋_GB2312" w:cs="Times New Roman Regular"/>
          <w:sz w:val="24"/>
          <w:highlight w:val="none"/>
        </w:rPr>
      </w:pPr>
    </w:p>
    <w:p w14:paraId="7D9BA8BB">
      <w:pPr>
        <w:keepNext w:val="0"/>
        <w:keepLines w:val="0"/>
        <w:pageBreakBefore w:val="0"/>
        <w:kinsoku/>
        <w:wordWrap/>
        <w:overflowPunct/>
        <w:topLinePunct w:val="0"/>
        <w:autoSpaceDE/>
        <w:autoSpaceDN/>
        <w:bidi w:val="0"/>
        <w:spacing w:line="580" w:lineRule="exact"/>
        <w:ind w:firstLine="480" w:firstLineChars="200"/>
        <w:jc w:val="both"/>
        <w:textAlignment w:val="auto"/>
        <w:rPr>
          <w:rFonts w:ascii="Times New Roman Regular" w:hAnsi="Times New Roman Regular" w:eastAsia="仿宋_GB2312" w:cs="Times New Roman Regular"/>
          <w:sz w:val="24"/>
          <w:highlight w:val="none"/>
        </w:rPr>
      </w:pPr>
    </w:p>
    <w:p w14:paraId="0F95018C">
      <w:pPr>
        <w:keepNext w:val="0"/>
        <w:keepLines w:val="0"/>
        <w:pageBreakBefore w:val="0"/>
        <w:kinsoku/>
        <w:wordWrap/>
        <w:overflowPunct/>
        <w:topLinePunct w:val="0"/>
        <w:autoSpaceDE/>
        <w:autoSpaceDN/>
        <w:bidi w:val="0"/>
        <w:spacing w:line="580" w:lineRule="exact"/>
        <w:ind w:firstLine="640" w:firstLineChars="200"/>
        <w:jc w:val="both"/>
        <w:textAlignment w:val="auto"/>
        <w:rPr>
          <w:rFonts w:ascii="Times New Roman Regular" w:hAnsi="Times New Roman Regular" w:eastAsia="仿宋_GB2312" w:cs="Times New Roman Regular"/>
          <w:sz w:val="32"/>
          <w:szCs w:val="32"/>
          <w:highlight w:val="none"/>
        </w:rPr>
      </w:pPr>
    </w:p>
    <w:p w14:paraId="249AA085">
      <w:pPr>
        <w:rPr>
          <w:rFonts w:hint="eastAsia" w:eastAsia="仿宋_GB2312"/>
          <w:sz w:val="32"/>
          <w:szCs w:val="32"/>
          <w:highlight w:val="none"/>
        </w:rPr>
      </w:pPr>
    </w:p>
    <w:sectPr>
      <w:pgSz w:w="11906" w:h="16838"/>
      <w:pgMar w:top="1928" w:right="1531" w:bottom="192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6983CD-CF85-4395-90F4-9A8CD92C32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7ACDF8A-6389-4149-AC99-532C15FAB5DE}"/>
  </w:font>
  <w:font w:name="仿宋">
    <w:panose1 w:val="02010609060101010101"/>
    <w:charset w:val="86"/>
    <w:family w:val="modern"/>
    <w:pitch w:val="default"/>
    <w:sig w:usb0="800002BF" w:usb1="38CF7CFA" w:usb2="00000016" w:usb3="00000000" w:csb0="00040001" w:csb1="00000000"/>
    <w:embedRegular r:id="rId3" w:fontKey="{89198879-082F-4AE3-A9CE-59E75E05AC4C}"/>
  </w:font>
  <w:font w:name="Trebuchet MS">
    <w:panose1 w:val="020B0603020202020204"/>
    <w:charset w:val="00"/>
    <w:family w:val="swiss"/>
    <w:pitch w:val="default"/>
    <w:sig w:usb0="00000687" w:usb1="00000000" w:usb2="00000000" w:usb3="00000000" w:csb0="2000009F"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2000019F" w:csb1="4F010000"/>
  </w:font>
  <w:font w:name="方正小标宋简体">
    <w:panose1 w:val="02010600010101010101"/>
    <w:charset w:val="80"/>
    <w:family w:val="auto"/>
    <w:pitch w:val="default"/>
    <w:sig w:usb0="00000001" w:usb1="080E0000" w:usb2="00000000" w:usb3="00000000" w:csb0="00040000" w:csb1="00000000"/>
    <w:embedRegular r:id="rId4" w:fontKey="{9CC16204-0D07-4386-B612-A0CB6056A4EA}"/>
  </w:font>
  <w:font w:name="Times New Roman Regular">
    <w:altName w:val="Times New Roman"/>
    <w:panose1 w:val="02020503050405090304"/>
    <w:charset w:val="00"/>
    <w:family w:val="auto"/>
    <w:pitch w:val="default"/>
    <w:sig w:usb0="00000000" w:usb1="00000000" w:usb2="00000001" w:usb3="00000000" w:csb0="400001BF" w:csb1="DFF70000"/>
    <w:embedRegular r:id="rId5" w:fontKey="{94943F8A-1D7D-4A4C-BB9A-2517779CE155}"/>
  </w:font>
  <w:font w:name="仿宋_GB2312">
    <w:panose1 w:val="02010609030101010101"/>
    <w:charset w:val="86"/>
    <w:family w:val="modern"/>
    <w:pitch w:val="default"/>
    <w:sig w:usb0="00000001" w:usb1="080E0000" w:usb2="00000000" w:usb3="00000000" w:csb0="00040000" w:csb1="00000000"/>
    <w:embedRegular r:id="rId6" w:fontKey="{4A80FA48-E3F4-481B-A5FF-F8932E2B8DDB}"/>
  </w:font>
  <w:font w:name="楷体_GB2312">
    <w:panose1 w:val="02010609030101010101"/>
    <w:charset w:val="86"/>
    <w:family w:val="modern"/>
    <w:pitch w:val="default"/>
    <w:sig w:usb0="00000001" w:usb1="080E0000" w:usb2="00000000" w:usb3="00000000" w:csb0="00040000" w:csb1="00000000"/>
    <w:embedRegular r:id="rId7" w:fontKey="{549B5F33-8B71-4233-8F7E-84594336BB0F}"/>
  </w:font>
  <w:font w:name="微软雅黑">
    <w:panose1 w:val="020B0503020204020204"/>
    <w:charset w:val="86"/>
    <w:family w:val="swiss"/>
    <w:pitch w:val="default"/>
    <w:sig w:usb0="80000287" w:usb1="2ACF3C50" w:usb2="00000016" w:usb3="00000000" w:csb0="0004001F" w:csb1="00000000"/>
    <w:embedRegular r:id="rId8" w:fontKey="{6CA482FF-590F-4A8D-860F-69CE9C7E28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3OTYwMjE1YTRlMzU4MGFmNTBiYjkyNTdhYmFlMWIifQ=="/>
  </w:docVars>
  <w:rsids>
    <w:rsidRoot w:val="00D03F8B"/>
    <w:rsid w:val="00004992"/>
    <w:rsid w:val="000123CE"/>
    <w:rsid w:val="00034416"/>
    <w:rsid w:val="00036E9D"/>
    <w:rsid w:val="00040D3E"/>
    <w:rsid w:val="00043349"/>
    <w:rsid w:val="00043D77"/>
    <w:rsid w:val="000462B3"/>
    <w:rsid w:val="00075D15"/>
    <w:rsid w:val="0007727E"/>
    <w:rsid w:val="000909CB"/>
    <w:rsid w:val="0009646B"/>
    <w:rsid w:val="000A2F1A"/>
    <w:rsid w:val="000B19DE"/>
    <w:rsid w:val="000B5813"/>
    <w:rsid w:val="000C289B"/>
    <w:rsid w:val="000C38E7"/>
    <w:rsid w:val="000C6AA7"/>
    <w:rsid w:val="000C71C8"/>
    <w:rsid w:val="000C746E"/>
    <w:rsid w:val="000D4E21"/>
    <w:rsid w:val="000E4A88"/>
    <w:rsid w:val="001047EF"/>
    <w:rsid w:val="001054D7"/>
    <w:rsid w:val="00105C78"/>
    <w:rsid w:val="001176D5"/>
    <w:rsid w:val="0012658B"/>
    <w:rsid w:val="00126BF6"/>
    <w:rsid w:val="001422BA"/>
    <w:rsid w:val="00142D0B"/>
    <w:rsid w:val="0015425F"/>
    <w:rsid w:val="00163740"/>
    <w:rsid w:val="00182EB6"/>
    <w:rsid w:val="001849D3"/>
    <w:rsid w:val="00197415"/>
    <w:rsid w:val="001A21BB"/>
    <w:rsid w:val="001A27F5"/>
    <w:rsid w:val="001A4EB4"/>
    <w:rsid w:val="001B1494"/>
    <w:rsid w:val="001B2BD8"/>
    <w:rsid w:val="001B2C58"/>
    <w:rsid w:val="001B3738"/>
    <w:rsid w:val="001B6483"/>
    <w:rsid w:val="001C1BB4"/>
    <w:rsid w:val="001D3E52"/>
    <w:rsid w:val="001D7230"/>
    <w:rsid w:val="001D7700"/>
    <w:rsid w:val="001E00AB"/>
    <w:rsid w:val="001E28A4"/>
    <w:rsid w:val="001E44C5"/>
    <w:rsid w:val="001E5663"/>
    <w:rsid w:val="001F3570"/>
    <w:rsid w:val="001F3623"/>
    <w:rsid w:val="001F7500"/>
    <w:rsid w:val="002004EA"/>
    <w:rsid w:val="00220004"/>
    <w:rsid w:val="00222552"/>
    <w:rsid w:val="0023486C"/>
    <w:rsid w:val="002445C5"/>
    <w:rsid w:val="002478E1"/>
    <w:rsid w:val="002503AB"/>
    <w:rsid w:val="0027720F"/>
    <w:rsid w:val="002A7DD6"/>
    <w:rsid w:val="002C34C6"/>
    <w:rsid w:val="002F0B8E"/>
    <w:rsid w:val="0031559E"/>
    <w:rsid w:val="00315BE5"/>
    <w:rsid w:val="00320355"/>
    <w:rsid w:val="00327BB4"/>
    <w:rsid w:val="00347345"/>
    <w:rsid w:val="00357318"/>
    <w:rsid w:val="003602EA"/>
    <w:rsid w:val="0036307B"/>
    <w:rsid w:val="00374617"/>
    <w:rsid w:val="00380BD6"/>
    <w:rsid w:val="0039371E"/>
    <w:rsid w:val="003A0C2C"/>
    <w:rsid w:val="003B3368"/>
    <w:rsid w:val="003B53C2"/>
    <w:rsid w:val="003C4120"/>
    <w:rsid w:val="003C4FFA"/>
    <w:rsid w:val="003C7E09"/>
    <w:rsid w:val="003D6D61"/>
    <w:rsid w:val="003E1FE4"/>
    <w:rsid w:val="003F2CA6"/>
    <w:rsid w:val="00412385"/>
    <w:rsid w:val="004232DA"/>
    <w:rsid w:val="00470835"/>
    <w:rsid w:val="004758BC"/>
    <w:rsid w:val="004778EB"/>
    <w:rsid w:val="00484A00"/>
    <w:rsid w:val="00484B6E"/>
    <w:rsid w:val="004A56CD"/>
    <w:rsid w:val="004B31F7"/>
    <w:rsid w:val="004D61BF"/>
    <w:rsid w:val="004D636C"/>
    <w:rsid w:val="004D7A25"/>
    <w:rsid w:val="004E3299"/>
    <w:rsid w:val="005154CF"/>
    <w:rsid w:val="0054097D"/>
    <w:rsid w:val="00570BE8"/>
    <w:rsid w:val="00570CD7"/>
    <w:rsid w:val="00576472"/>
    <w:rsid w:val="00593581"/>
    <w:rsid w:val="005973EA"/>
    <w:rsid w:val="005B2E70"/>
    <w:rsid w:val="005B7F4D"/>
    <w:rsid w:val="005C61AE"/>
    <w:rsid w:val="005D1A97"/>
    <w:rsid w:val="005D30ED"/>
    <w:rsid w:val="005D61B5"/>
    <w:rsid w:val="005E0A8A"/>
    <w:rsid w:val="005E23E6"/>
    <w:rsid w:val="005E3032"/>
    <w:rsid w:val="005F49C6"/>
    <w:rsid w:val="006024A2"/>
    <w:rsid w:val="0060786E"/>
    <w:rsid w:val="006176F6"/>
    <w:rsid w:val="00626FFA"/>
    <w:rsid w:val="00631E32"/>
    <w:rsid w:val="00640295"/>
    <w:rsid w:val="00682BD5"/>
    <w:rsid w:val="00684E4F"/>
    <w:rsid w:val="006861BF"/>
    <w:rsid w:val="00694325"/>
    <w:rsid w:val="00694766"/>
    <w:rsid w:val="006A1B0A"/>
    <w:rsid w:val="006B1B66"/>
    <w:rsid w:val="006C356C"/>
    <w:rsid w:val="006C49E8"/>
    <w:rsid w:val="00701F03"/>
    <w:rsid w:val="007046EB"/>
    <w:rsid w:val="00707DCE"/>
    <w:rsid w:val="00741198"/>
    <w:rsid w:val="00771ABA"/>
    <w:rsid w:val="007A37B7"/>
    <w:rsid w:val="007A49F6"/>
    <w:rsid w:val="007A67FB"/>
    <w:rsid w:val="007B3574"/>
    <w:rsid w:val="007E0BC0"/>
    <w:rsid w:val="007F1599"/>
    <w:rsid w:val="00811409"/>
    <w:rsid w:val="008202E7"/>
    <w:rsid w:val="00825003"/>
    <w:rsid w:val="00831C65"/>
    <w:rsid w:val="00836042"/>
    <w:rsid w:val="008447EA"/>
    <w:rsid w:val="0084784E"/>
    <w:rsid w:val="008710FC"/>
    <w:rsid w:val="008730D6"/>
    <w:rsid w:val="008932B0"/>
    <w:rsid w:val="0089743C"/>
    <w:rsid w:val="008A6524"/>
    <w:rsid w:val="008C4E14"/>
    <w:rsid w:val="008D7143"/>
    <w:rsid w:val="008D7F44"/>
    <w:rsid w:val="008F02CC"/>
    <w:rsid w:val="00924B7E"/>
    <w:rsid w:val="0092776E"/>
    <w:rsid w:val="00934084"/>
    <w:rsid w:val="009369E9"/>
    <w:rsid w:val="00942646"/>
    <w:rsid w:val="00945C03"/>
    <w:rsid w:val="00947944"/>
    <w:rsid w:val="00955B3A"/>
    <w:rsid w:val="00964F21"/>
    <w:rsid w:val="009652E2"/>
    <w:rsid w:val="00974BC5"/>
    <w:rsid w:val="00974E62"/>
    <w:rsid w:val="0098372A"/>
    <w:rsid w:val="009B3EEB"/>
    <w:rsid w:val="009B5E41"/>
    <w:rsid w:val="009C07F0"/>
    <w:rsid w:val="009D1C60"/>
    <w:rsid w:val="009D4C2C"/>
    <w:rsid w:val="009F1020"/>
    <w:rsid w:val="009F61A0"/>
    <w:rsid w:val="00A03F15"/>
    <w:rsid w:val="00A0405D"/>
    <w:rsid w:val="00A06B3A"/>
    <w:rsid w:val="00A2426A"/>
    <w:rsid w:val="00A26067"/>
    <w:rsid w:val="00A34854"/>
    <w:rsid w:val="00A405AA"/>
    <w:rsid w:val="00A43471"/>
    <w:rsid w:val="00A46612"/>
    <w:rsid w:val="00A52072"/>
    <w:rsid w:val="00A556FC"/>
    <w:rsid w:val="00A57BC2"/>
    <w:rsid w:val="00A7164D"/>
    <w:rsid w:val="00A72413"/>
    <w:rsid w:val="00A86090"/>
    <w:rsid w:val="00A95924"/>
    <w:rsid w:val="00A9730D"/>
    <w:rsid w:val="00AB6803"/>
    <w:rsid w:val="00AC5AA4"/>
    <w:rsid w:val="00AC636C"/>
    <w:rsid w:val="00AC7AC1"/>
    <w:rsid w:val="00AD2030"/>
    <w:rsid w:val="00AE7FFC"/>
    <w:rsid w:val="00AF3B79"/>
    <w:rsid w:val="00B0019F"/>
    <w:rsid w:val="00B10064"/>
    <w:rsid w:val="00B14638"/>
    <w:rsid w:val="00B220E2"/>
    <w:rsid w:val="00B56F80"/>
    <w:rsid w:val="00B6439E"/>
    <w:rsid w:val="00B66361"/>
    <w:rsid w:val="00B670CC"/>
    <w:rsid w:val="00B74893"/>
    <w:rsid w:val="00B75DC4"/>
    <w:rsid w:val="00B81EF2"/>
    <w:rsid w:val="00B82A89"/>
    <w:rsid w:val="00B86A55"/>
    <w:rsid w:val="00BC3B1D"/>
    <w:rsid w:val="00BC545F"/>
    <w:rsid w:val="00BD1725"/>
    <w:rsid w:val="00BE0876"/>
    <w:rsid w:val="00BE2F48"/>
    <w:rsid w:val="00BF28C1"/>
    <w:rsid w:val="00BF6C20"/>
    <w:rsid w:val="00C1423B"/>
    <w:rsid w:val="00C40C36"/>
    <w:rsid w:val="00C448A1"/>
    <w:rsid w:val="00C57DAB"/>
    <w:rsid w:val="00C60213"/>
    <w:rsid w:val="00C6362E"/>
    <w:rsid w:val="00C80755"/>
    <w:rsid w:val="00C80B17"/>
    <w:rsid w:val="00C80CD2"/>
    <w:rsid w:val="00CA658B"/>
    <w:rsid w:val="00CC600B"/>
    <w:rsid w:val="00CD0AB9"/>
    <w:rsid w:val="00CD5FFC"/>
    <w:rsid w:val="00CE4F39"/>
    <w:rsid w:val="00CE6C4F"/>
    <w:rsid w:val="00CF1160"/>
    <w:rsid w:val="00D03DEC"/>
    <w:rsid w:val="00D03F8B"/>
    <w:rsid w:val="00D12CF4"/>
    <w:rsid w:val="00D2172F"/>
    <w:rsid w:val="00D352F0"/>
    <w:rsid w:val="00D40D24"/>
    <w:rsid w:val="00D45BFB"/>
    <w:rsid w:val="00D45DFA"/>
    <w:rsid w:val="00D720CE"/>
    <w:rsid w:val="00D726DF"/>
    <w:rsid w:val="00D734FE"/>
    <w:rsid w:val="00D7566F"/>
    <w:rsid w:val="00D80EF5"/>
    <w:rsid w:val="00D823E7"/>
    <w:rsid w:val="00D932AF"/>
    <w:rsid w:val="00DA0F65"/>
    <w:rsid w:val="00DB5AB0"/>
    <w:rsid w:val="00DE3B30"/>
    <w:rsid w:val="00E03A7B"/>
    <w:rsid w:val="00E07D58"/>
    <w:rsid w:val="00E25089"/>
    <w:rsid w:val="00E306BF"/>
    <w:rsid w:val="00E377C7"/>
    <w:rsid w:val="00E41EF4"/>
    <w:rsid w:val="00E45EB0"/>
    <w:rsid w:val="00E540AF"/>
    <w:rsid w:val="00E652F7"/>
    <w:rsid w:val="00E661E7"/>
    <w:rsid w:val="00E77879"/>
    <w:rsid w:val="00E840AA"/>
    <w:rsid w:val="00E967D7"/>
    <w:rsid w:val="00EA02EE"/>
    <w:rsid w:val="00EA295A"/>
    <w:rsid w:val="00EA5554"/>
    <w:rsid w:val="00EB3A8C"/>
    <w:rsid w:val="00EB4CD8"/>
    <w:rsid w:val="00ED1BC6"/>
    <w:rsid w:val="00ED5E4D"/>
    <w:rsid w:val="00ED61E8"/>
    <w:rsid w:val="00EE2E37"/>
    <w:rsid w:val="00EF2938"/>
    <w:rsid w:val="00F0225D"/>
    <w:rsid w:val="00F05877"/>
    <w:rsid w:val="00F234F9"/>
    <w:rsid w:val="00F265DC"/>
    <w:rsid w:val="00F346BF"/>
    <w:rsid w:val="00F578B4"/>
    <w:rsid w:val="00F72529"/>
    <w:rsid w:val="00F73D5F"/>
    <w:rsid w:val="00FA1AD1"/>
    <w:rsid w:val="00FB1495"/>
    <w:rsid w:val="00FB7EC7"/>
    <w:rsid w:val="00FD4DB3"/>
    <w:rsid w:val="00FD7B30"/>
    <w:rsid w:val="00FD7BD8"/>
    <w:rsid w:val="00FF0523"/>
    <w:rsid w:val="01CB5043"/>
    <w:rsid w:val="0E5B5121"/>
    <w:rsid w:val="1CA9245E"/>
    <w:rsid w:val="1E1D5546"/>
    <w:rsid w:val="23151DB2"/>
    <w:rsid w:val="2F2D7341"/>
    <w:rsid w:val="2FE36E5B"/>
    <w:rsid w:val="30BC29A5"/>
    <w:rsid w:val="34EB2E71"/>
    <w:rsid w:val="35546B76"/>
    <w:rsid w:val="39B55BFB"/>
    <w:rsid w:val="3FFBA5B9"/>
    <w:rsid w:val="40AD1CA5"/>
    <w:rsid w:val="41CC6422"/>
    <w:rsid w:val="4C42209C"/>
    <w:rsid w:val="4E676A4D"/>
    <w:rsid w:val="549E372C"/>
    <w:rsid w:val="5FA9B367"/>
    <w:rsid w:val="6B2765FC"/>
    <w:rsid w:val="6BC62551"/>
    <w:rsid w:val="6E200A78"/>
    <w:rsid w:val="6E661AEC"/>
    <w:rsid w:val="6EC78703"/>
    <w:rsid w:val="73FFBFAE"/>
    <w:rsid w:val="77F7681D"/>
    <w:rsid w:val="7BCB47E1"/>
    <w:rsid w:val="7BF72623"/>
    <w:rsid w:val="7D3D3387"/>
    <w:rsid w:val="A7F76989"/>
    <w:rsid w:val="DBBD9C52"/>
    <w:rsid w:val="F966146F"/>
    <w:rsid w:val="FBFC8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31"/>
    <w:semiHidden/>
    <w:unhideWhenUsed/>
    <w:qFormat/>
    <w:uiPriority w:val="99"/>
    <w:pPr>
      <w:jc w:val="left"/>
    </w:pPr>
  </w:style>
  <w:style w:type="paragraph" w:styleId="3">
    <w:name w:val="Body Text Indent"/>
    <w:basedOn w:val="1"/>
    <w:next w:val="4"/>
    <w:qFormat/>
    <w:uiPriority w:val="0"/>
    <w:pPr>
      <w:spacing w:after="120"/>
      <w:ind w:left="420" w:leftChars="200"/>
    </w:pPr>
  </w:style>
  <w:style w:type="paragraph" w:styleId="4">
    <w:name w:val="Body Text First Indent 2"/>
    <w:basedOn w:val="3"/>
    <w:next w:val="1"/>
    <w:unhideWhenUsed/>
    <w:qFormat/>
    <w:uiPriority w:val="0"/>
    <w:pPr>
      <w:ind w:firstLine="420" w:firstLineChars="200"/>
    </w:pPr>
    <w:rPr>
      <w:rFonts w:ascii="Calibri" w:hAnsi="Calibri" w:eastAsia="仿宋"/>
      <w:sz w:val="32"/>
      <w:lang w:val="en-US" w:eastAsia="zh-CN"/>
    </w:rPr>
  </w:style>
  <w:style w:type="paragraph" w:styleId="5">
    <w:name w:val="Balloon Text"/>
    <w:basedOn w:val="1"/>
    <w:link w:val="20"/>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line="240" w:lineRule="atLeast"/>
      <w:jc w:val="left"/>
    </w:pPr>
    <w:rPr>
      <w:rFonts w:ascii="Trebuchet MS" w:hAnsi="Trebuchet MS" w:cs="宋体"/>
      <w:kern w:val="0"/>
      <w:sz w:val="18"/>
      <w:szCs w:val="18"/>
    </w:rPr>
  </w:style>
  <w:style w:type="paragraph" w:styleId="10">
    <w:name w:val="annotation subject"/>
    <w:basedOn w:val="2"/>
    <w:next w:val="2"/>
    <w:link w:val="32"/>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Hyperlink"/>
    <w:unhideWhenUsed/>
    <w:qFormat/>
    <w:uiPriority w:val="99"/>
    <w:rPr>
      <w:color w:val="0000FF"/>
      <w:u w:val="single"/>
    </w:rPr>
  </w:style>
  <w:style w:type="character" w:styleId="16">
    <w:name w:val="annotation reference"/>
    <w:basedOn w:val="13"/>
    <w:semiHidden/>
    <w:unhideWhenUsed/>
    <w:qFormat/>
    <w:uiPriority w:val="99"/>
    <w:rPr>
      <w:sz w:val="21"/>
      <w:szCs w:val="21"/>
    </w:rPr>
  </w:style>
  <w:style w:type="paragraph" w:styleId="17">
    <w:name w:val="List Paragraph"/>
    <w:basedOn w:val="1"/>
    <w:qFormat/>
    <w:uiPriority w:val="34"/>
    <w:pPr>
      <w:ind w:firstLine="420" w:firstLineChars="200"/>
    </w:pPr>
  </w:style>
  <w:style w:type="character" w:customStyle="1" w:styleId="18">
    <w:name w:val="页眉 字符"/>
    <w:basedOn w:val="13"/>
    <w:link w:val="7"/>
    <w:qFormat/>
    <w:uiPriority w:val="99"/>
    <w:rPr>
      <w:rFonts w:ascii="Times New Roman" w:hAnsi="Times New Roman" w:eastAsia="宋体" w:cs="Times New Roman"/>
      <w:sz w:val="18"/>
      <w:szCs w:val="18"/>
    </w:rPr>
  </w:style>
  <w:style w:type="character" w:customStyle="1" w:styleId="19">
    <w:name w:val="页脚 字符"/>
    <w:basedOn w:val="13"/>
    <w:link w:val="6"/>
    <w:qFormat/>
    <w:uiPriority w:val="99"/>
    <w:rPr>
      <w:rFonts w:ascii="Times New Roman" w:hAnsi="Times New Roman" w:eastAsia="宋体" w:cs="Times New Roman"/>
      <w:sz w:val="18"/>
      <w:szCs w:val="18"/>
    </w:rPr>
  </w:style>
  <w:style w:type="character" w:customStyle="1" w:styleId="20">
    <w:name w:val="批注框文本 字符"/>
    <w:basedOn w:val="13"/>
    <w:link w:val="5"/>
    <w:semiHidden/>
    <w:qFormat/>
    <w:uiPriority w:val="99"/>
    <w:rPr>
      <w:rFonts w:ascii="Times New Roman" w:hAnsi="Times New Roman" w:eastAsia="宋体" w:cs="Times New Roman"/>
      <w:sz w:val="18"/>
      <w:szCs w:val="18"/>
    </w:rPr>
  </w:style>
  <w:style w:type="paragraph" w:customStyle="1" w:styleId="21">
    <w:name w:val="Default"/>
    <w:qFormat/>
    <w:uiPriority w:val="0"/>
    <w:pPr>
      <w:widowControl w:val="0"/>
      <w:autoSpaceDE w:val="0"/>
      <w:autoSpaceDN w:val="0"/>
      <w:adjustRightInd w:val="0"/>
    </w:pPr>
    <w:rPr>
      <w:rFonts w:ascii="楷体" w:eastAsia="楷体" w:cs="楷体" w:hAnsiTheme="minorHAnsi"/>
      <w:color w:val="000000"/>
      <w:sz w:val="24"/>
      <w:szCs w:val="24"/>
      <w:lang w:val="en-US" w:eastAsia="zh-CN" w:bidi="ar-SA"/>
    </w:rPr>
  </w:style>
  <w:style w:type="character" w:customStyle="1" w:styleId="22">
    <w:name w:val="s2"/>
    <w:basedOn w:val="13"/>
    <w:qFormat/>
    <w:uiPriority w:val="0"/>
    <w:rPr>
      <w:rFonts w:hint="default" w:ascii="Helvetica" w:hAnsi="Helvetica"/>
      <w:color w:val="000000"/>
      <w:sz w:val="24"/>
      <w:szCs w:val="24"/>
    </w:rPr>
  </w:style>
  <w:style w:type="character" w:customStyle="1" w:styleId="23">
    <w:name w:val="s3"/>
    <w:basedOn w:val="13"/>
    <w:qFormat/>
    <w:uiPriority w:val="0"/>
    <w:rPr>
      <w:rFonts w:hint="default" w:ascii="Helvetica" w:hAnsi="Helvetica"/>
      <w:color w:val="000000"/>
      <w:sz w:val="24"/>
      <w:szCs w:val="24"/>
    </w:rPr>
  </w:style>
  <w:style w:type="character" w:customStyle="1" w:styleId="24">
    <w:name w:val="s1"/>
    <w:basedOn w:val="13"/>
    <w:qFormat/>
    <w:uiPriority w:val="0"/>
    <w:rPr>
      <w:rFonts w:hint="eastAsia" w:ascii="宋体" w:hAnsi="宋体" w:eastAsia="宋体"/>
      <w:color w:val="000000"/>
      <w:sz w:val="24"/>
      <w:szCs w:val="24"/>
    </w:rPr>
  </w:style>
  <w:style w:type="character" w:customStyle="1" w:styleId="25">
    <w:name w:val="未处理的提及1"/>
    <w:basedOn w:val="13"/>
    <w:semiHidden/>
    <w:unhideWhenUsed/>
    <w:qFormat/>
    <w:uiPriority w:val="99"/>
    <w:rPr>
      <w:color w:val="605E5C"/>
      <w:shd w:val="clear" w:color="auto" w:fill="E1DFDD"/>
    </w:rPr>
  </w:style>
  <w:style w:type="paragraph" w:customStyle="1" w:styleId="26">
    <w:name w:val="Table Paragraph"/>
    <w:basedOn w:val="1"/>
    <w:qFormat/>
    <w:uiPriority w:val="1"/>
    <w:pPr>
      <w:autoSpaceDE w:val="0"/>
      <w:autoSpaceDN w:val="0"/>
      <w:spacing w:before="184"/>
      <w:ind w:left="114"/>
      <w:jc w:val="left"/>
    </w:pPr>
    <w:rPr>
      <w:rFonts w:ascii="宋体" w:hAnsi="宋体" w:cs="宋体"/>
      <w:kern w:val="0"/>
      <w:sz w:val="22"/>
      <w:szCs w:val="22"/>
    </w:rPr>
  </w:style>
  <w:style w:type="character" w:customStyle="1" w:styleId="27">
    <w:name w:val="未处理的提及2"/>
    <w:basedOn w:val="13"/>
    <w:semiHidden/>
    <w:unhideWhenUsed/>
    <w:qFormat/>
    <w:uiPriority w:val="99"/>
    <w:rPr>
      <w:color w:val="605E5C"/>
      <w:shd w:val="clear" w:color="auto" w:fill="E1DFDD"/>
    </w:rPr>
  </w:style>
  <w:style w:type="character" w:customStyle="1" w:styleId="28">
    <w:name w:val="未处理的提及3"/>
    <w:basedOn w:val="13"/>
    <w:semiHidden/>
    <w:unhideWhenUsed/>
    <w:qFormat/>
    <w:uiPriority w:val="99"/>
    <w:rPr>
      <w:color w:val="605E5C"/>
      <w:shd w:val="clear" w:color="auto" w:fill="E1DFDD"/>
    </w:rPr>
  </w:style>
  <w:style w:type="character" w:customStyle="1" w:styleId="29">
    <w:name w:val="HTML 预设格式 字符"/>
    <w:basedOn w:val="13"/>
    <w:link w:val="8"/>
    <w:semiHidden/>
    <w:qFormat/>
    <w:uiPriority w:val="99"/>
    <w:rPr>
      <w:rFonts w:ascii="宋体" w:hAnsi="宋体" w:eastAsia="宋体" w:cs="宋体"/>
      <w:sz w:val="24"/>
      <w:szCs w:val="24"/>
    </w:rPr>
  </w:style>
  <w:style w:type="character" w:customStyle="1" w:styleId="30">
    <w:name w:val="Unresolved Mention"/>
    <w:basedOn w:val="13"/>
    <w:semiHidden/>
    <w:unhideWhenUsed/>
    <w:qFormat/>
    <w:uiPriority w:val="99"/>
    <w:rPr>
      <w:color w:val="605E5C"/>
      <w:shd w:val="clear" w:color="auto" w:fill="E1DFDD"/>
    </w:rPr>
  </w:style>
  <w:style w:type="character" w:customStyle="1" w:styleId="31">
    <w:name w:val="批注文字 字符"/>
    <w:basedOn w:val="13"/>
    <w:link w:val="2"/>
    <w:semiHidden/>
    <w:qFormat/>
    <w:uiPriority w:val="99"/>
    <w:rPr>
      <w:rFonts w:ascii="Times New Roman" w:hAnsi="Times New Roman" w:eastAsia="宋体" w:cs="Times New Roman"/>
      <w:kern w:val="2"/>
      <w:sz w:val="21"/>
      <w:szCs w:val="24"/>
    </w:rPr>
  </w:style>
  <w:style w:type="character" w:customStyle="1" w:styleId="32">
    <w:name w:val="批注主题 字符"/>
    <w:basedOn w:val="31"/>
    <w:link w:val="10"/>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2.xml><?xml version="1.0" encoding="utf-8"?>
<contractReview xmlns="http://schemas.wps.cn/vas-ai-hub/contract-review">
  <reviewItems>
    <reviewItem>
      <errorID>470279dd-a1fc-4450-b091-fcd47776612f</errorID>
      <errorWord>光通讯配件</errorWord>
      <group>L1_Word</group>
      <groupName>字词问题</groupName>
      <ability>L2_Typo</ability>
      <abilityName>字词错误</abilityName>
      <candidateList>
        <item>光通信配件</item>
      </candidateList>
      <explain/>
      <paraID>163ACB91</paraID>
      <start>83</start>
      <end>88</end>
      <status>unmodified</status>
      <modifiedWord/>
      <trackRevisions>false</trackRevisions>
    </reviewItem>
    <reviewItem>
      <errorID>312f3c8c-0486-4488-a564-87bc8a8c5237</errorID>
      <errorWord>国内国际两大市场</errorWord>
      <group>L1_Political</group>
      <groupName>政治性问题</groupName>
      <ability>L2_Keyword</ability>
      <abilityName>固定表述</abilityName>
      <candidateList>
        <item>国内国际两个市场</item>
      </candidateList>
      <explain>词汇“国内国际两个市场”在特定场景下为固定表述形式，请确认此处的“国内国际两大市场”是否存在不当。</explain>
      <paraID>1181F937</paraID>
      <start>24</start>
      <end>32</end>
      <status>unmodified</status>
      <modifiedWord/>
      <trackRevisions>false</trackRevisions>
    </reviewItem>
    <reviewItem>
      <errorID>b56efd7e-2b35-489e-a090-269a42f2a7b3</errorID>
      <errorWord>凸出</errorWord>
      <group>L1_Word</group>
      <groupName>字词问题</groupName>
      <ability>L2_Typo</ability>
      <abilityName>字词错误</abilityName>
      <candidateList>
        <item>突出</item>
      </candidateList>
      <explain>❶〈动〉鼓出来：悬崖～｜～的颧骨。❷〈形〉超过一般地显露出来：成绩～。❸〈动〉使超过一般：～重点｜～个人。</explain>
      <paraID>47D6F522</paraID>
      <start>93</start>
      <end>95</end>
      <status>modified</status>
      <modifiedWord>突出</modifiedWord>
      <trackRevisions>false</trackRevisions>
    </reviewItem>
    <reviewItem>
      <errorID>e0286bb2-4eee-4142-92f9-063fbb179295</errorID>
      <errorWord>以兹鼓励</errorWord>
      <group>L1_Word</group>
      <groupName>字词问题</groupName>
      <ability>L2_Typo</ability>
      <abilityName>字词错误</abilityName>
      <candidateList>
        <item>以资鼓励</item>
      </candidateList>
      <explain>存在发音相同字词的误用。</explain>
      <paraID>1157CD49</paraID>
      <start>101</start>
      <end>105</end>
      <status>unmodified</status>
      <modifiedWord/>
      <trackRevisions>false</trackRevisions>
    </reviewItem>
    <reviewItem>
      <errorID>2d93e980-715a-4f50-922f-ceb87ef04456</errorID>
      <errorWord>（</errorWord>
      <group>L1_Punc</group>
      <groupName>标点问题</groupName>
      <ability>L2_Punc_CN</ability>
      <abilityName/>
      <candidateList>
        <item/>
      </candidateList>
      <explain>同一形式括号套用。</explain>
      <paraID>16E361B3</paraID>
      <start>49</start>
      <end>50</end>
      <status>unmodified</status>
      <modifiedWord/>
      <trackRevisions>false</trackRevisions>
    </reviewItem>
    <reviewItem>
      <errorID>b15cf646-4528-4fe8-87d6-58070e55fd19</errorID>
      <errorWord>(</errorWord>
      <group>L1_Punc</group>
      <groupName>标点问题</groupName>
      <ability>L2_Punc_CN</ability>
      <abilityName/>
      <candidateList/>
      <explain>同一形式括号套用。</explain>
      <paraID>16E361B3</paraID>
      <start>76</start>
      <end>77</end>
      <status>unmodified</status>
      <modifiedWord/>
      <trackRevisions>false</trackRevisions>
    </reviewItem>
    <reviewItem>
      <errorID>9dcb024d-d1d9-4611-ad9b-38e03f252815</errorID>
      <errorWord>)</errorWord>
      <group>L1_Punc</group>
      <groupName>标点问题</groupName>
      <ability>L2_Punc_CN</ability>
      <abilityName/>
      <candidateList/>
      <explain>同一形式括号套用。</explain>
      <paraID>16E361B3</paraID>
      <start>80</start>
      <end>81</end>
      <status>unmodified</status>
      <modifiedWord/>
      <trackRevisions>false</trackRevisions>
    </reviewItem>
    <reviewItem>
      <errorID>075a47a0-9186-4b83-aacb-fb7e9062a9c5</errorID>
      <errorWord>）</errorWord>
      <group>L1_Punc</group>
      <groupName>标点问题</groupName>
      <ability>L2_Punc_CN</ability>
      <abilityName/>
      <candidateList/>
      <explain>同一形式括号套用。</explain>
      <paraID>16E361B3</paraID>
      <start>84</start>
      <end>85</end>
      <status>unmodified</status>
      <modifiedWord/>
      <trackRevisions>false</trackRevisions>
    </reviewItem>
    <reviewItem>
      <errorID>307647d0-3b1e-49f8-a0af-d02b13facad1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7BA325C1</paraID>
      <start>30</start>
      <end>33</end>
      <status>unmodified</status>
      <modifiedWord/>
      <trackRevisions>false</trackRevisions>
    </reviewItem>
    <reviewItem>
      <errorID>3d9ad423-49d5-40d6-8d8b-11f48814a747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7BA325C1</paraID>
      <start>41</start>
      <end>44</end>
      <status>unmodified</status>
      <modifiedWord/>
      <trackRevisions>false</trackRevisions>
    </reviewItem>
    <reviewItem>
      <errorID>641a988a-fa65-4010-8ee5-3b94d28cb98a</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7BA325C1</paraID>
      <start>54</start>
      <end>57</end>
      <status>unmodified</status>
      <modifiedWord/>
      <trackRevisions>false</trackRevisions>
    </reviewItem>
    <reviewItem>
      <errorID>14352925-3c1c-4adf-9dee-5d24dcdf65f0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7BA325C1</paraID>
      <start>63</start>
      <end>66</end>
      <status>unmodified</status>
      <modifiedWord/>
      <trackRevisions>false</trackRevisions>
    </reviewItem>
    <reviewItem>
      <errorID>8484c4e7-2743-46f2-a219-6a14f8272898</errorID>
      <errorWord>里</errorWord>
      <group>L1_Word</group>
      <groupName>字词问题</groupName>
      <ability>L2_Typo</ability>
      <abilityName>字词错误</abilityName>
      <candidateList>
        <item>中</item>
      </candidateList>
      <explain>存在字形相近字词的误用。</explain>
      <paraID>7A687B7D</paraID>
      <start>146</start>
      <end>147</end>
      <status>unmodified</status>
      <modifiedWord/>
      <trackRevisions>false</trackRevisions>
    </reviewItem>
    <reviewItem>
      <errorID>cc7f8684-7a15-4db5-acd1-895b8b4501ea</errorID>
      <errorWord>，</errorWord>
      <group>L1_Word</group>
      <groupName>字词问题</groupName>
      <ability>L2_Typo</ability>
      <abilityName>字词错误</abilityName>
      <candidateList>
        <item>，具</item>
      </candidateList>
      <explain/>
      <paraID>3B0E52F0</paraID>
      <start>199</start>
      <end>200</end>
      <status>unmodified</status>
      <modifiedWord/>
      <trackRevisions>false</trackRevisions>
    </reviewItem>
    <reviewItem>
      <errorID>ec9b373d-6d0a-4fb4-aefc-facfa7cc26c9</errorID>
      <errorWord>(</errorWord>
      <group>L1_Format</group>
      <groupName>格式问题</groupName>
      <ability>L2_HalfPunc_CN</ability>
      <abilityName/>
      <candidateList>
        <item>（</item>
      </candidateList>
      <explain>文本全半角错误。</explain>
      <paraID>3B0E52F0</paraID>
      <start>211</start>
      <end>212</end>
      <status>unmodified</status>
      <modifiedWord/>
      <trackRevisions>false</trackRevisions>
    </reviewItem>
    <reviewItem>
      <errorID>c0d46b2c-ceb1-43e8-8687-aee17bd4cb11</errorID>
      <errorWord>)</errorWord>
      <group>L1_Format</group>
      <groupName>格式问题</groupName>
      <ability>L2_HalfPunc_CN</ability>
      <abilityName/>
      <candidateList>
        <item>）</item>
      </candidateList>
      <explain>文本全半角错误。</explain>
      <paraID>3B0E52F0</paraID>
      <start>218</start>
      <end>219</end>
      <status>unmodified</status>
      <modifiedWord/>
      <trackRevisions>false</trackRevisions>
    </reviewItem>
    <reviewItem>
      <errorID>06a04858-e89c-4438-88d7-5c561fdcba03</errorID>
      <errorWord>做出贡献</errorWord>
      <group>L1_Word</group>
      <groupName>字词问题</groupName>
      <ability>L2_Typo</ability>
      <abilityName>字词错误</abilityName>
      <candidateList>
        <item>作出贡献</item>
      </candidateList>
      <explain>存在发音相同字词的误用。</explain>
      <paraID>336771AF</paraID>
      <start>85</start>
      <end>89</end>
      <status>unmodified</status>
      <modifiedWord/>
      <trackRevisions>false</trackRevisions>
    </reviewItem>
    <reviewItem>
      <errorID>2c63f77b-fc1c-456b-ab93-57cc5a96517c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24D89CB5</paraID>
      <start>19</start>
      <end>20</end>
      <status>unmodified</status>
      <modifiedWord/>
      <trackRevisions>false</trackRevisions>
    </reviewItem>
    <reviewItem>
      <errorID>98b342e4-0bbb-4fff-a185-9803d1e902f8</errorID>
      <errorWord>以兹鼓励</errorWord>
      <group>L1_Word</group>
      <groupName>字词问题</groupName>
      <ability>L2_Typo</ability>
      <abilityName>字词错误</abilityName>
      <candidateList>
        <item>以资鼓励</item>
      </candidateList>
      <explain>存在发音相同字词的误用。</explain>
      <paraID>780F5915</paraID>
      <start>101</start>
      <end>105</end>
      <status>unmodified</status>
      <modifiedWord/>
      <trackRevisions>false</trackRevisions>
    </reviewItem>
    <reviewItem>
      <errorID>c99a6747-63a5-43b2-b680-d574c7bb26fa</errorID>
      <errorWord>（</errorWord>
      <group>L1_Punc</group>
      <groupName>标点问题</groupName>
      <ability>L2_Punc_CN</ability>
      <abilityName/>
      <candidateList>
        <item/>
      </candidateList>
      <explain>同一形式括号套用。</explain>
      <paraID>49151E91</paraID>
      <start>75</start>
      <end>76</end>
      <status>unmodified</status>
      <modifiedWord/>
      <trackRevisions>false</trackRevisions>
    </reviewItem>
    <reviewItem>
      <errorID>7c68592d-9d0a-428f-ad26-af25f3dd203f</errorID>
      <errorWord>(</errorWord>
      <group>L1_Punc</group>
      <groupName>标点问题</groupName>
      <ability>L2_Punc_CN</ability>
      <abilityName/>
      <candidateList/>
      <explain>同一形式括号套用。</explain>
      <paraID>49151E91</paraID>
      <start>105</start>
      <end>106</end>
      <status>unmodified</status>
      <modifiedWord/>
      <trackRevisions>false</trackRevisions>
    </reviewItem>
    <reviewItem>
      <errorID>4d9a44e5-423a-465b-9b51-c568817fa94a</errorID>
      <errorWord>)</errorWord>
      <group>L1_Punc</group>
      <groupName>标点问题</groupName>
      <ability>L2_Punc_CN</ability>
      <abilityName/>
      <candidateList/>
      <explain>同一形式括号套用。</explain>
      <paraID>49151E91</paraID>
      <start>109</start>
      <end>110</end>
      <status>unmodified</status>
      <modifiedWord/>
      <trackRevisions>false</trackRevisions>
    </reviewItem>
    <reviewItem>
      <errorID>1936bd56-36de-4778-b5e5-e17ff2425f7e</errorID>
      <errorWord>）</errorWord>
      <group>L1_Punc</group>
      <groupName>标点问题</groupName>
      <ability>L2_Punc_CN</ability>
      <abilityName/>
      <candidateList/>
      <explain>同一形式括号套用。</explain>
      <paraID>49151E91</paraID>
      <start>113</start>
      <end>114</end>
      <status>unmodified</status>
      <modifiedWord/>
      <trackRevisions>false</trackRevisions>
    </reviewItem>
    <reviewItem>
      <errorID>5476db98-ecc4-49c5-99d2-55a5da088265</errorID>
      <errorWord>年</errorWord>
      <group>L1_Word</group>
      <groupName>字词问题</groupName>
      <ability>L2_Typo</ability>
      <abilityName>字词错误</abilityName>
      <candidateList>
        <item>年来</item>
      </candidateList>
      <explain/>
      <paraID>46712254</paraID>
      <start>24</start>
      <end>25</end>
      <status>unmodified</status>
      <modifiedWord/>
      <trackRevisions>false</trackRevisions>
    </reviewItem>
    <reviewItem>
      <errorID>290bfc1e-6142-4009-b854-964cd65a0730</errorID>
      <errorWord>考察</errorWord>
      <group>L1_Word</group>
      <groupName>字词问题</groupName>
      <ability>L2_Typo</ability>
      <abilityName>字词错误</abilityName>
      <candidateList>
        <item>考查</item>
      </candidateList>
      <explain>〈动〉用一定的标准来检查衡量（行为、活动）：～学生的学业成绩。</explain>
      <paraID>39F61A2F</paraID>
      <start>103</start>
      <end>105</end>
      <status>unmodified</status>
      <modifiedWord/>
      <trackRevisions>false</trackRevisions>
    </reviewItem>
    <reviewItem>
      <errorID>d1f442db-606f-473b-a80a-5b4d3e4fa472</errorID>
      <errorWord>（</errorWord>
      <group>L1_Punc</group>
      <groupName>标点问题</groupName>
      <ability>L2_Punc_CN</ability>
      <abilityName/>
      <candidateList>
        <item/>
      </candidateList>
      <explain>同一形式括号套用。</explain>
      <paraID>443A0372</paraID>
      <start>75</start>
      <end>76</end>
      <status>unmodified</status>
      <modifiedWord/>
      <trackRevisions>false</trackRevisions>
    </reviewItem>
    <reviewItem>
      <errorID>1181928e-a047-409d-85d8-fda41cdde3a3</errorID>
      <errorWord>(</errorWord>
      <group>L1_Punc</group>
      <groupName>标点问题</groupName>
      <ability>L2_Punc_CN</ability>
      <abilityName/>
      <candidateList/>
      <explain>同一形式括号套用。</explain>
      <paraID>443A0372</paraID>
      <start>102</start>
      <end>103</end>
      <status>unmodified</status>
      <modifiedWord/>
      <trackRevisions>false</trackRevisions>
    </reviewItem>
    <reviewItem>
      <errorID>d18ef5a9-83a1-4d85-97e7-0aa6b53510a3</errorID>
      <errorWord>)</errorWord>
      <group>L1_Punc</group>
      <groupName>标点问题</groupName>
      <ability>L2_Punc_CN</ability>
      <abilityName/>
      <candidateList/>
      <explain>同一形式括号套用。</explain>
      <paraID>443A0372</paraID>
      <start>106</start>
      <end>107</end>
      <status>unmodified</status>
      <modifiedWord/>
      <trackRevisions>false</trackRevisions>
    </reviewItem>
    <reviewItem>
      <errorID>1657b68f-8814-45f6-8a6b-bdb58cf91465</errorID>
      <errorWord>）</errorWord>
      <group>L1_Punc</group>
      <groupName>标点问题</groupName>
      <ability>L2_Punc_CN</ability>
      <abilityName/>
      <candidateList/>
      <explain>同一形式括号套用。</explain>
      <paraID>443A0372</paraID>
      <start>110</start>
      <end>111</end>
      <status>unmodified</status>
      <modifiedWord/>
      <trackRevisions>false</trackRevisions>
    </reviewItem>
    <reviewItem>
      <errorID>bddbe1ee-9430-44cd-98e6-ab2e582529a3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6EEA6FCA</paraID>
      <start>0</start>
      <end>2</end>
      <status>modified</status>
      <modifiedWord>2.</modifiedWord>
      <trackRevisions>false</trackRevisions>
    </reviewItem>
    <reviewItem>
      <errorID>fef0919b-95bf-44b1-9b34-32eb326bad3b</errorID>
      <errorWord>倡导了</errorWord>
      <group>L1_Word</group>
      <groupName>字词问题</groupName>
      <ability>L2_Typo</ability>
      <abilityName>字词错误</abilityName>
      <candidateList>
        <item>倡导</item>
      </candidateList>
      <explain/>
      <paraID> FFF8BB8</paraID>
      <start>38</start>
      <end>40</end>
      <status>modified</status>
      <modifiedWord>倡导</modifiedWord>
      <trackRevisions>false</trackRevisions>
    </reviewItem>
    <reviewItem>
      <errorID>31a80865-2b87-4fe0-a7d3-59def353b3a8</errorID>
      <errorWord>（</errorWord>
      <group>L1_Punc</group>
      <groupName>标点问题</groupName>
      <ability>L2_Punc_CN</ability>
      <abilityName/>
      <candidateList>
        <item/>
      </candidateList>
      <explain>同一形式括号套用。</explain>
      <paraID>4C8A5D6E</paraID>
      <start>75</start>
      <end>76</end>
      <status>unmodified</status>
      <modifiedWord/>
      <trackRevisions>false</trackRevisions>
    </reviewItem>
    <reviewItem>
      <errorID>5f97f31a-0c2f-4bca-9e5f-b1af497fa984</errorID>
      <errorWord>(</errorWord>
      <group>L1_Punc</group>
      <groupName>标点问题</groupName>
      <ability>L2_Punc_CN</ability>
      <abilityName/>
      <candidateList/>
      <explain>同一形式括号套用。</explain>
      <paraID>4C8A5D6E</paraID>
      <start>102</start>
      <end>103</end>
      <status>unmodified</status>
      <modifiedWord/>
      <trackRevisions>false</trackRevisions>
    </reviewItem>
    <reviewItem>
      <errorID>60ac92fe-9535-4abe-8325-2726ce2dca88</errorID>
      <errorWord>)</errorWord>
      <group>L1_Punc</group>
      <groupName>标点问题</groupName>
      <ability>L2_Punc_CN</ability>
      <abilityName/>
      <candidateList/>
      <explain>同一形式括号套用。</explain>
      <paraID>4C8A5D6E</paraID>
      <start>106</start>
      <end>107</end>
      <status>unmodified</status>
      <modifiedWord/>
      <trackRevisions>false</trackRevisions>
    </reviewItem>
    <reviewItem>
      <errorID>58581ed8-b022-4400-b6ed-d85cf96daf26</errorID>
      <errorWord>）</errorWord>
      <group>L1_Punc</group>
      <groupName>标点问题</groupName>
      <ability>L2_Punc_CN</ability>
      <abilityName/>
      <candidateList/>
      <explain>同一形式括号套用。</explain>
      <paraID>4C8A5D6E</paraID>
      <start>110</start>
      <end>111</end>
      <status>unmodified</status>
      <modifiedWord/>
      <trackRevisions>false</trackRevisions>
    </reviewItem>
  </reviewItems>
  <config/>
</contractReview>
</file>

<file path=customXml/itemProps1.xml><?xml version="1.0" encoding="utf-8"?>
<ds:datastoreItem xmlns:ds="http://schemas.openxmlformats.org/officeDocument/2006/customXml" ds:itemID="{1BBFF7C2-1C0F-704F-B41D-034BE1423A6F}">
  <ds:schemaRefs/>
</ds:datastoreItem>
</file>

<file path=customXml/itemProps2.xml><?xml version="1.0" encoding="utf-8"?>
<ds:datastoreItem xmlns:ds="http://schemas.openxmlformats.org/officeDocument/2006/customXml" ds:itemID="{9fea3369-9a05-47b0-a678-d76f27527d15}">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11192</Words>
  <Characters>11719</Characters>
  <Lines>25</Lines>
  <Paragraphs>7</Paragraphs>
  <TotalTime>4</TotalTime>
  <ScaleCrop>false</ScaleCrop>
  <LinksUpToDate>false</LinksUpToDate>
  <CharactersWithSpaces>11747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2023-04-01T08:22:00Z</dcterms:created>
  <dc:creator>UE</dc:creator>
  <cp:lastModifiedBy>鲁宏浩</cp:lastModifiedBy>
  <dcterms:modified xsi:type="dcterms:W3CDTF">2026-05-21T01:33:32Z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47B9147637A348419A5710953FF66E84</vt:lpwstr>
  </property>
  <property fmtid="{D5CDD505-2E9C-101B-9397-08002B2CF9AE}" pid="4" name="KSOTemplateDocerSaveRecord">
    <vt:lpwstr>eyJoZGlkIjoiNWY4MzFkYjcwYTBmYzllMTQ4OGNlNmM1ZjI0NThmMWMiLCJ1c2VySWQiOiIzMTgyMjk2NTAifQ==</vt:lpwstr>
  </property>
</Properties>
</file>